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5562" w:rsidRDefault="00355562">
      <w:pPr>
        <w:pStyle w:val="ConsPlusNormal"/>
      </w:pPr>
      <w:r>
        <w:t>Зарегистрировано в Минюсте России 5 ноября 2020 г. N 60761</w:t>
      </w:r>
    </w:p>
    <w:p w:rsidR="00355562" w:rsidRDefault="0035556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55562" w:rsidRDefault="00355562">
      <w:pPr>
        <w:pStyle w:val="ConsPlusNormal"/>
      </w:pPr>
    </w:p>
    <w:p w:rsidR="00355562" w:rsidRDefault="00355562">
      <w:pPr>
        <w:pStyle w:val="ConsPlusTitle"/>
        <w:jc w:val="center"/>
      </w:pPr>
      <w:r>
        <w:t>ЦЕНТРАЛЬНЫЙ БАНК РОССИЙСКОЙ ФЕДЕРАЦИИ</w:t>
      </w:r>
    </w:p>
    <w:p w:rsidR="00355562" w:rsidRDefault="00355562">
      <w:pPr>
        <w:pStyle w:val="ConsPlusTitle"/>
        <w:jc w:val="center"/>
      </w:pPr>
    </w:p>
    <w:p w:rsidR="00355562" w:rsidRDefault="00355562">
      <w:pPr>
        <w:pStyle w:val="ConsPlusTitle"/>
        <w:jc w:val="center"/>
      </w:pPr>
      <w:r>
        <w:t>ПОЛОЖЕНИЕ</w:t>
      </w:r>
    </w:p>
    <w:p w:rsidR="00355562" w:rsidRDefault="00355562">
      <w:pPr>
        <w:pStyle w:val="ConsPlusTitle"/>
        <w:jc w:val="center"/>
      </w:pPr>
      <w:r>
        <w:t>от 6 октября 2020 г. N 735-П</w:t>
      </w:r>
    </w:p>
    <w:p w:rsidR="00355562" w:rsidRDefault="00355562">
      <w:pPr>
        <w:pStyle w:val="ConsPlusTitle"/>
        <w:jc w:val="center"/>
      </w:pPr>
    </w:p>
    <w:p w:rsidR="00355562" w:rsidRDefault="00355562">
      <w:pPr>
        <w:pStyle w:val="ConsPlusTitle"/>
        <w:jc w:val="center"/>
      </w:pPr>
      <w:r>
        <w:t>О ВЕДЕНИИ</w:t>
      </w:r>
    </w:p>
    <w:p w:rsidR="00355562" w:rsidRDefault="00355562">
      <w:pPr>
        <w:pStyle w:val="ConsPlusTitle"/>
        <w:jc w:val="center"/>
      </w:pPr>
      <w:r>
        <w:t>БАНКОМ РОССИИ И КРЕДИТНЫМИ ОРГАНИЗАЦИЯМИ (ФИЛИАЛАМИ)</w:t>
      </w:r>
    </w:p>
    <w:p w:rsidR="00355562" w:rsidRDefault="00355562">
      <w:pPr>
        <w:pStyle w:val="ConsPlusTitle"/>
        <w:jc w:val="center"/>
      </w:pPr>
      <w:r>
        <w:t>БАНКОВСКИХ СЧЕТОВ ТЕРРИТОРИАЛЬНЫХ ОРГАНОВ</w:t>
      </w:r>
    </w:p>
    <w:p w:rsidR="00355562" w:rsidRDefault="00355562">
      <w:pPr>
        <w:pStyle w:val="ConsPlusTitle"/>
        <w:jc w:val="center"/>
      </w:pPr>
      <w:r>
        <w:t>ФЕДЕРАЛЬНОГО КАЗНАЧЕЙСТВА</w:t>
      </w:r>
    </w:p>
    <w:p w:rsidR="00355562" w:rsidRDefault="00355562">
      <w:pPr>
        <w:spacing w:after="1"/>
      </w:pPr>
    </w:p>
    <w:p w:rsidR="00355562" w:rsidRDefault="00355562">
      <w:pPr>
        <w:pStyle w:val="ConsPlusNormal"/>
        <w:spacing w:before="280"/>
        <w:ind w:firstLine="540"/>
        <w:jc w:val="both"/>
      </w:pPr>
      <w:r>
        <w:t xml:space="preserve">Настоящее Положение на основании </w:t>
      </w:r>
      <w:hyperlink r:id="rId4" w:history="1">
        <w:r>
          <w:rPr>
            <w:color w:val="0000FF"/>
          </w:rPr>
          <w:t>пункта 2 статьи 155</w:t>
        </w:r>
      </w:hyperlink>
      <w:r>
        <w:t xml:space="preserve">, </w:t>
      </w:r>
      <w:hyperlink r:id="rId5" w:history="1">
        <w:r>
          <w:rPr>
            <w:color w:val="0000FF"/>
          </w:rPr>
          <w:t>пунктов 2</w:t>
        </w:r>
      </w:hyperlink>
      <w:r>
        <w:t xml:space="preserve"> и </w:t>
      </w:r>
      <w:hyperlink r:id="rId6" w:history="1">
        <w:r>
          <w:rPr>
            <w:color w:val="0000FF"/>
          </w:rPr>
          <w:t>4 статьи 156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2020, N 31, ст. 5022), </w:t>
      </w:r>
      <w:hyperlink r:id="rId7" w:history="1">
        <w:r>
          <w:rPr>
            <w:color w:val="0000FF"/>
          </w:rPr>
          <w:t>пунктов 5</w:t>
        </w:r>
      </w:hyperlink>
      <w:r>
        <w:t xml:space="preserve"> и 6 статьи 4 Федерального закона от 10 июля 2002 года N 86-ФЗ "О Центральном банке Российской Федерации (Банке России)" (Собрание законодательства Российской Федерации, 2002, N 28, ст. 2790; 2020, N 31, ст. 5018) и в соответствии с решением Совета директоров Банка России (протокол заседания Совета директоров Банка России от 18 сентября 2020 года N ПСД-21) устанавливает порядок ведения Банком России и кредитными организациями (филиалами) банковских счетов территориальных органов Федерального казначейства.</w:t>
      </w:r>
    </w:p>
    <w:p w:rsidR="00355562" w:rsidRDefault="00355562">
      <w:pPr>
        <w:pStyle w:val="ConsPlusNormal"/>
        <w:jc w:val="both"/>
      </w:pPr>
    </w:p>
    <w:p w:rsidR="00355562" w:rsidRDefault="00355562">
      <w:pPr>
        <w:pStyle w:val="ConsPlusTitle"/>
        <w:ind w:firstLine="540"/>
        <w:jc w:val="both"/>
        <w:outlineLvl w:val="0"/>
      </w:pPr>
      <w:r>
        <w:t>Глава 1. Расчетное обслуживание банковских счетов</w:t>
      </w:r>
      <w:bookmarkStart w:id="0" w:name="_GoBack"/>
      <w:bookmarkEnd w:id="0"/>
    </w:p>
    <w:p w:rsidR="00355562" w:rsidRDefault="00355562">
      <w:pPr>
        <w:pStyle w:val="ConsPlusNormal"/>
        <w:jc w:val="both"/>
      </w:pPr>
    </w:p>
    <w:p w:rsidR="00355562" w:rsidRDefault="00355562">
      <w:pPr>
        <w:pStyle w:val="ConsPlusNormal"/>
        <w:ind w:firstLine="540"/>
        <w:jc w:val="both"/>
      </w:pPr>
      <w:r>
        <w:t xml:space="preserve">1.1. Платежные поручения, представляемые в Банк России и кредитные организации (далее при совместном упоминании - банки), плательщиками по которым являются организации, лицевые счета которым открыты в территориальных органах Федерального казначейства, финансовых органах субъектов Российской Федерации (муниципальных образований) (далее - финансовые органы), органах управления государственными внебюджетными фондами Российской Федерации (далее соответственно - органы управления внебюджетными фондами, организации) в условиях открытия территориальным органам Федерального казначейства, финансовым органам, органам управления внебюджетными фондами казначейских счетов в соответствии с бюджетным законодательством Российской Федерации, заполняются по каждой организации в соответствии с правилами, установленными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Банка России от 19 июня 2012 года N 383-П "О правилах осуществления перевода денежных средств", зарегистрированным Министерством юстиции Российской Федерации 22 июня 2012 года N 24667, 14 августа 2013 года N 29387, 19 мая 2014 года N 32323, 11 июня 2015 года N 37649, 27 января 2016 года N 40831, 31 июля 2017 года N 47578, 24 декабря 2018 года N 53109 (далее - Положение Банка России N 383-П), с учетом следующего.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1.1.1. В реквизите "ИНН" плательщика указывается идентификационный номер налогоплательщика (далее - ИНН) организации.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1.1.2. В реквизите "КПП" плательщика указывается код причины постановки на налоговый учет (далее - КПП) организации. При отсутствии у организации КПП в реквизите "КПП" плательщика указывается значение "0" (ноль).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1.1.3. В случае осуществления перевода денежных средств с банковского счета, входящего в состав единого казначейского счета, открытого территориальному органу Федерального казначейства, платежные поручения заполняются с учетом следующего.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1.1.3.1. В реквизите "</w:t>
      </w:r>
      <w:proofErr w:type="spellStart"/>
      <w:r>
        <w:t>Сч</w:t>
      </w:r>
      <w:proofErr w:type="spellEnd"/>
      <w:r>
        <w:t xml:space="preserve">. N" плательщика указывается номер казначейского счета, открытый территориальному органу Федерального казначейства, финансовому органу, органу управления внебюджетным фондом в территориальном органе Федерального казначейства, который состоит </w:t>
      </w:r>
      <w:r>
        <w:lastRenderedPageBreak/>
        <w:t>из двадцати цифр и начинается с цифры "0".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1.1.3.2. В реквизите "Банк плательщика" указываются наименование банка плательщика, обслуживающего территориальный орган Федерального казначейства, знак "//", сокращенное наименование и место нахождения территориального органа Федерального казначейства.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1.1.3.3. В реквизите "БИК" банка плательщика указывается банковский идентификационный код (далее - БИК) территориального органа Федерального казначейства.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1.1.3.4. В реквизите "</w:t>
      </w:r>
      <w:proofErr w:type="spellStart"/>
      <w:r>
        <w:t>Сч</w:t>
      </w:r>
      <w:proofErr w:type="spellEnd"/>
      <w:r>
        <w:t>. N" банка плательщика указывается номер банковского счета, входящего в состав единого казначейского счета, открытого территориальному органу Федерального казначейства.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1.1.3.5. В реквизите "Плательщик" указываются: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в случае если казначейский счет открыт территориальному органу Федерального казначейства - полное или сокращенное наименование территориального органа Федерального казначейства, в скобках полное или сокращенное наименование организации;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в случае если казначейский счет открыт финансовому органу, органу управления внебюджетным фондом - полное или сокращенное наименование финансового органа, органа управления внебюджетным фондом, в скобках полное или сокращенное наименование организации.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Банки не осуществляют контроль за наличием и содержанием информации, указанной в скобках в реквизите "Плательщик" платежного поручения.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1.1.4. В случае осуществления перевода денежных средств с банковского счета, предназначенного для выдачи и внесения наличных денег, не входящего в состав единого казначейского счета, открытого территориальному органу Федерального казначейства (далее - банковский счет, предназначенный для выдачи и внесения наличных денег), платежные поручения заполняются с учетом следующего.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1.1.4.1. В реквизите "</w:t>
      </w:r>
      <w:proofErr w:type="spellStart"/>
      <w:r>
        <w:t>Сч</w:t>
      </w:r>
      <w:proofErr w:type="spellEnd"/>
      <w:r>
        <w:t>. N" плательщика указывается номер банковского счета, предназначенного для выдачи и внесения наличных денег.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1.1.4.2. В реквизите "Плательщик" указываются: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в случае если лицевой счет организации открыт в территориальном органе Федерального казначейства - полное или сокращенное наименование территориального органа Федерального казначейства, в скобках полное или сокращенное наименование организации;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в случае если лицевой счет организации открыт в финансовом органе, органе управления внебюджетным фондом - полное или сокращенное наименование территориального органа Федерального казначейства, в скобках полное или сокращенное наименование организации.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Банки не осуществляют контроль за наличием и содержанием информации, указанной в скобках в реквизите "Плательщик" платежного поручения.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1.1.5. В реквизите 104 указывается: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 xml:space="preserve">в </w:t>
      </w:r>
      <w:proofErr w:type="gramStart"/>
      <w:r>
        <w:t>случае</w:t>
      </w:r>
      <w:proofErr w:type="gramEnd"/>
      <w:r>
        <w:t xml:space="preserve"> когда получателем по платежному поручению является участник бюджетного процесса - код бюджетной классификации Российской Федерации, в соответствии с которым поступления подлежат отражению в бюджетном учете бюджетополучателя, являющегося получателем средств;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 xml:space="preserve">в </w:t>
      </w:r>
      <w:proofErr w:type="gramStart"/>
      <w:r>
        <w:t>случае</w:t>
      </w:r>
      <w:proofErr w:type="gramEnd"/>
      <w:r>
        <w:t xml:space="preserve"> когда получателем по платежному поручению является </w:t>
      </w:r>
      <w:proofErr w:type="spellStart"/>
      <w:r>
        <w:t>неучастник</w:t>
      </w:r>
      <w:proofErr w:type="spellEnd"/>
      <w:r>
        <w:t xml:space="preserve"> бюджетного </w:t>
      </w:r>
      <w:r>
        <w:lastRenderedPageBreak/>
        <w:t xml:space="preserve">процесса - двадцатизначный код операции, содержащий в 1 - 17 разрядах нули, в 18 - 20 разрядах код, по которому в соответствии с бюджетным законодательством Российской Федерации операции, осуществляемые </w:t>
      </w:r>
      <w:proofErr w:type="spellStart"/>
      <w:r>
        <w:t>неучастником</w:t>
      </w:r>
      <w:proofErr w:type="spellEnd"/>
      <w:r>
        <w:t xml:space="preserve"> бюджетного процесса, отражаются на соответствующем лицевом счете, открытом ему в территориальном органе Федерального казначейства или финансовом органе (далее - код операции).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В случае если в соответствии с законодательством Российской Федерации проводимая операция не подлежит учету по кодам бюджетной классификации Российской Федерации (кодам операций) на лицевом счете, открытом организации, являющейся получателем по платежному поручению, в территориальном органе Федерального казначейства, финансовом органе, органе управления внебюджетным фондом, в реквизите 104 указывается значение "0" (ноль).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 xml:space="preserve">1.1.6. В реквизите "Назначение платежа" перед текстовым указанием назначения платежа в скобках приводится информация в целях соблюдения порядка казначейского обслуживания, установленного Федеральным казначейством в соответствии со </w:t>
      </w:r>
      <w:hyperlink r:id="rId9" w:history="1">
        <w:r>
          <w:rPr>
            <w:color w:val="0000FF"/>
          </w:rPr>
          <w:t>статьей 166.1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2019, N 52, ст. 7797) (далее - информация в целях соблюдения порядка казначейского обслуживания), а также информация в целях соблюдения порядка исполнения бюджета по расходам, установленного финансовым органом или органом управления внебюджетным фондом в соответствии с </w:t>
      </w:r>
      <w:hyperlink r:id="rId10" w:history="1">
        <w:r>
          <w:rPr>
            <w:color w:val="0000FF"/>
          </w:rPr>
          <w:t>пунктом 1 статьи 219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2020, N 14, ст. 2001) (далее - информация в целях соблюдения порядка исполнения бюджета по расходам).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Банки не осуществляют контроль за наличием и содержанием информации, указанной в скобках в реквизите "Назначение платежа" платежного поручения.</w:t>
      </w:r>
    </w:p>
    <w:p w:rsidR="00355562" w:rsidRDefault="00355562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1.1.6 в ред. </w:t>
      </w:r>
      <w:hyperlink r:id="rId11" w:history="1">
        <w:r>
          <w:rPr>
            <w:color w:val="0000FF"/>
          </w:rPr>
          <w:t>Указания</w:t>
        </w:r>
      </w:hyperlink>
      <w:r>
        <w:t xml:space="preserve"> Банка России от 25.03.2021 N 5755-У)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 xml:space="preserve">1.1.7. В случае осуществления перевода денежных средств в адрес кредитной организации, лицензия на осуществление банковских операций у которой отозвана, в период после отзыва у нее лицензии на осуществление банковских операций и до дня вступления в силу решения арбитражного суда о признании кредитной организации несостоятельной (банкротом) или о ее ликвидации платежные поручения о переводе денежных средств по основаниям, указанным в </w:t>
      </w:r>
      <w:hyperlink r:id="rId12" w:history="1">
        <w:r>
          <w:rPr>
            <w:color w:val="0000FF"/>
          </w:rPr>
          <w:t>пункте 1 части тринадцатой статьи 20</w:t>
        </w:r>
      </w:hyperlink>
      <w:r>
        <w:t xml:space="preserve"> Федерального закона "О банках и банковской деятельности" (в редакции Федерального закона от 3 февраля 1996 года N 17-ФЗ) (Ведомости Съезда народных депутатов РСФСР и Верховного Совета РСФСР, 1990, N 27, ст. 357; Собрание законодательства Российской Федерации, 1996, N 6, ст. 492; 2019, N 52, ст. 7825), заполняются в соответствии с правилами, установленными </w:t>
      </w:r>
      <w:hyperlink r:id="rId13" w:history="1">
        <w:r>
          <w:rPr>
            <w:color w:val="0000FF"/>
          </w:rPr>
          <w:t>Положением</w:t>
        </w:r>
      </w:hyperlink>
      <w:r>
        <w:t xml:space="preserve"> Банка России N 383-П, при этом в реквизите "Получатель" указывается наименование кредитной организации, у которой отозвана лицензия на осуществление банковских операций, в реквизите "Счет N" получателя значение не указывается.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 xml:space="preserve">1.2. Платежные поручения, получателями по которым являются организации, и инкассовые поручения, предъявляемые к счетам должников этих организаций (далее - инкассовые поручения), заполняются в соответствии с правилами, установленными </w:t>
      </w:r>
      <w:hyperlink r:id="rId14" w:history="1">
        <w:r>
          <w:rPr>
            <w:color w:val="0000FF"/>
          </w:rPr>
          <w:t>Положением</w:t>
        </w:r>
      </w:hyperlink>
      <w:r>
        <w:t xml:space="preserve"> Банка России N 383-П, с учетом следующего.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1.2.1. В реквизите "ИНН" получателя указывается ИНН организации.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1.2.2. В реквизите "КПП" получателя указывается КПП организации. При отсутствии у организации КПП в реквизите "КПП" получателя указывается значение "0" (ноль).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1.2.3. В случае осуществления перевода денежных средств на банковский счет, входящий в состав единого казначейского счета, открытого территориальному органу Федерального казначейства, платежные поручения, инкассовые поручения, получателями по которым являются организации, заполняются с учетом следующего.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lastRenderedPageBreak/>
        <w:t>1.2.3.1. В реквизите "</w:t>
      </w:r>
      <w:proofErr w:type="spellStart"/>
      <w:r>
        <w:t>Сч</w:t>
      </w:r>
      <w:proofErr w:type="spellEnd"/>
      <w:r>
        <w:t>. N" получателя средств указывается номер казначейского счета, открытый территориальному органу Федерального казначейства, финансовому органу, органу управления внебюджетным фондом в территориальном органе Федерального казначейства, который состоит из двадцати цифр и начинается с цифры "0".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1.2.3.2. В реквизите "Банк получателя" указываются наименование банка получателя, обслуживающего территориальный орган Федерального казначейства, знак "//", сокращенное наименование и место нахождения территориального органа Федерального казначейства.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1.2.3.3. В реквизите "БИК" банка получателя указывается БИК территориального органа Федерального казначейства.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1.2.3.4. В реквизите "</w:t>
      </w:r>
      <w:proofErr w:type="spellStart"/>
      <w:r>
        <w:t>Сч</w:t>
      </w:r>
      <w:proofErr w:type="spellEnd"/>
      <w:r>
        <w:t>. N" банка получателя указывается номер банковского счета, входящего в состав единого казначейского счета, открытого территориальному органу Федерального казначейства.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1.2.3.5. В реквизите "Получатель" указываются: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в случае если казначейский счет открыт территориальному органу Федерального казначейства - полное или сокращенное наименование территориального органа Федерального казначейства, в скобках полное или сокращенное наименование организации, а также номер лицевого счета организации;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в случае если казначейский счет открыт финансовому органу, органу управления внебюджетным фондом - полное или сокращенное наименование финансового органа, органа управления внебюджетным фондом, в скобках полное или сокращенное наименование организации, а также: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номер лицевого счета организации, если указанный счет открыт в территориальном органе Федерального казначейства;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номер лицевого счета финансового органа или органа управления внебюджетным фондом, если лицевой счет организации открыт в финансовом органе или органе управления внебюджетным фондом.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 xml:space="preserve">При перечислении платежей, являющихся в соответствии с бюджетным законодательством Российской Федерации доходами, полученными от приносящей доход деятельности, предусмотренными </w:t>
      </w:r>
      <w:hyperlink r:id="rId15" w:history="1">
        <w:r>
          <w:rPr>
            <w:color w:val="0000FF"/>
          </w:rPr>
          <w:t>пунктом 10 статьи 241</w:t>
        </w:r>
      </w:hyperlink>
      <w:r>
        <w:t xml:space="preserve"> Бюджетного кодекса Российской Федерации, на финансовое обеспечение осуществления функций бюджетополучателя сверх бюджетных ассигнований, предусмотренных ему в федеральном бюджете (далее - источник дополнительного бюджетного финансирования), в реквизите "Получатель" указываются полное или сокращенное наименование территориального органа Федерального казначейства, в скобках сокращенное наименование администратора доходов бюджета, осуществляющего администрирование указанного платежа в соответствии с законодательством Российской Федерации, а также номер лицевого счета организации.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Банки не осуществляют контроль за наличием и содержанием информации, указанной в скобках в реквизите "Получатель" платежного поручения, инкассового поручения.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1.2.4. В случае осуществления перевода денежных средств на банковский счет, предназначенный для выдачи и внесения наличных денег, платежные поручения заполняются с учетом следующего.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1.2.4.1. В реквизите "</w:t>
      </w:r>
      <w:proofErr w:type="spellStart"/>
      <w:r>
        <w:t>Сч</w:t>
      </w:r>
      <w:proofErr w:type="spellEnd"/>
      <w:r>
        <w:t>. N" получателя средств указывается номер банковского счета, предназначенного для выдачи и внесения наличных денег.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lastRenderedPageBreak/>
        <w:t>1.2.4.2. В реквизите "Получатель" указываются: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в случае если лицевой счет организации открыт в территориальном органе Федерального казначейства - полное или сокращенное наименование территориального органа Федерального казначейства, в скобках полное или сокращенное наименование организации;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в случае если лицевой счет организации открыт в финансовом органе, органе управления внебюджетным фондом - полное или сокращенное наименование территориального органа Федерального казначейства, в скобках полное или сокращенное наименование организации.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Банки не осуществляют контроль за наличием и содержанием информации, указанной в скобках в реквизите "Получатель" платежного поручения.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1.2.5. В реквизите 104 указывается: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 xml:space="preserve">в </w:t>
      </w:r>
      <w:proofErr w:type="gramStart"/>
      <w:r>
        <w:t>случае</w:t>
      </w:r>
      <w:proofErr w:type="gramEnd"/>
      <w:r>
        <w:t xml:space="preserve"> когда получателем по платежному поручению является бюджетополучатель - код бюджетной классификации Российской Федерации, в соответствии с которым поступления подлежат отражению в бюджетном учете бюджетополучателя, являющегося получателем средств;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 xml:space="preserve">в </w:t>
      </w:r>
      <w:proofErr w:type="gramStart"/>
      <w:r>
        <w:t>случае</w:t>
      </w:r>
      <w:proofErr w:type="gramEnd"/>
      <w:r>
        <w:t xml:space="preserve"> когда получателем по платежному поручению является </w:t>
      </w:r>
      <w:proofErr w:type="spellStart"/>
      <w:r>
        <w:t>неучастник</w:t>
      </w:r>
      <w:proofErr w:type="spellEnd"/>
      <w:r>
        <w:t xml:space="preserve"> бюджетного процесса, лицевой счет которого открыт в территориальном органе Федерального казначейства или финансовом органе - код операции.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В случае если в соответствии с законодательством Российской Федерации проводимая операция не подлежит учету по коду бюджетной классификации Российской Федерации (коду операции) на лицевом счете, открытом организации, являющейся получателем по платежному поручению, в территориальном органе Федерального казначейства, финансовом органе, органе управления внебюджетным фондом, в реквизите 104 указывается значение "0" (ноль).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1.2.6. В реквизите "Назначение платежа" платежного поручения перед текстовым указанием назначения платежа в скобках проставляется код бюджетной классификации Российской Федерации (код операции) (за исключением операций, которые в соответствии с законодательством Российской Федерации не подлежат учету по кодам бюджетной классификации Российской Федерации), затем приводится информация в целях соблюдения порядка исполнения бюджета по расходам. При перечислении платежей, являющихся в соответствии с бюджетным законодательством Российской Федерации источником дополнительного бюджетного финансирования, в реквизите "Назначение платежа" платежного поручения указываются номер и дата заключенного организацией договора на оказание услуг (выполнение работ, поставку товаров) или иного документа на получение указанных средств.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Банки не осуществляют контроль за наличием и содержанием информации, указанной в скобках в реквизите "Назначение платежа" платежного поручения.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1.3. При казначейском сопровождении средств по договорам (соглашениям), государственным контрактам, а также контрактам, договорам, соглашениям, заключенным в рамках их исполнения, идентификатор договора (соглашения), государственного контракта, контракта указывается в реквизите "Код" платежного поручения (в случае перечисления платежей в бюджеты бюджетной системы Российской Федерации указывается в реквизите "Назначение платежа" платежного поручения перед текстовым указанием назначения платежа и отделяется знаком "//").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Банки не осуществляют контроль за наличием и содержанием идентификатора договора (соглашения), государственного контракта, контракта.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 xml:space="preserve">1.4. На платежных поручениях, представляемых в Банк России и кредитные организации, плательщиками по которым являются организации, в случае их оформления на бумажном носителе </w:t>
      </w:r>
      <w:r>
        <w:lastRenderedPageBreak/>
        <w:t>ставятся подписи должностных лиц территориального органа Федерального казначейства, наделенных правом подписи, и печать территориального органа Федерального казначейства в соответствии с карточкой с образцами подписей и оттиска печати.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 xml:space="preserve">1.5. Платежные поручения о переводе денежных средств в уплату налогов, сборов и иных платежей в бюджетную систему Российской Федерации, платежные поручения о переводе денежных средств для осуществления платежей, являющихся в соответствии с бюджетным законодательством Российской Федерации источником дополнительного бюджетного финансирования организации, заполняются отдельно по каждой организации в соответствии с правилами, установленными </w:t>
      </w:r>
      <w:hyperlink r:id="rId16" w:history="1">
        <w:r>
          <w:rPr>
            <w:color w:val="0000FF"/>
          </w:rPr>
          <w:t>Положением</w:t>
        </w:r>
      </w:hyperlink>
      <w:r>
        <w:t xml:space="preserve"> Банка России N 383-П, с учетом положений, установленных </w:t>
      </w:r>
      <w:hyperlink r:id="rId17" w:history="1">
        <w:r>
          <w:rPr>
            <w:color w:val="0000FF"/>
          </w:rPr>
          <w:t>приказом</w:t>
        </w:r>
      </w:hyperlink>
      <w:r>
        <w:t xml:space="preserve"> Министерства финансов Российской Федерации от 12 ноября 2013 года N 107н "Об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Федерации", зарегистрированным Министерством юстиции Российской Федерации 30 декабря 2013 года N 30913, 2 декабря 2014 года N 35053, 27 ноября 2015 года N 39883, 13 апреля 2017 года N 46369, и настоящим Положением.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Платежные поручения о переводе денежных средств для осуществления платежей, являющихся в соответствии с бюджетным законодательством Российской Федерации источником дополнительного бюджетного финансирования организации, заполняются с учетом следующего: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в реквизите "Получатель" указываются сокращенное наименование территориального органа Федерального казначейства, в скобках сокращенное наименование администратора доходов бюджета, осуществляющего администрирование платежа в соответствии с законодательством Российской Федерации, а также номер лицевого счета организации;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в реквизите "Назначение платежа" указываются номер и дата заключенного организацией договора на оказание услуг (выполнение работ, поставку товаров) или иного документа на получение указанных средств.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 xml:space="preserve">1.6. Банки обеспечивают контроль наличия значений, количества и допустимости символов в значениях реквизитов "ИНН" плательщика, "ИНН" получателя, "КПП" плательщика, "КПП" получателя, 104 платежного поручения в соответствии с </w:t>
      </w:r>
      <w:hyperlink r:id="rId18" w:history="1">
        <w:r>
          <w:rPr>
            <w:color w:val="0000FF"/>
          </w:rPr>
          <w:t>Положением</w:t>
        </w:r>
      </w:hyperlink>
      <w:r>
        <w:t xml:space="preserve"> Банка России N 383-П.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 xml:space="preserve">1.7. Платежные поручения, плательщиками (получателями) по которым являются территориальные органы Федерального казначейства, обеспечивающие осуществление предусмотренных </w:t>
      </w:r>
      <w:hyperlink r:id="rId19" w:history="1">
        <w:r>
          <w:rPr>
            <w:color w:val="0000FF"/>
          </w:rPr>
          <w:t>статьей 242.13</w:t>
        </w:r>
      </w:hyperlink>
      <w:r>
        <w:t xml:space="preserve"> Бюджетного кодекса Российской Федерации операций по управлению остатками средств на едином казначейском счете, открытом территориальному органу Федерального казначейства, заполняются в соответствии с правилами, установленными </w:t>
      </w:r>
      <w:hyperlink r:id="rId20" w:history="1">
        <w:r>
          <w:rPr>
            <w:color w:val="0000FF"/>
          </w:rPr>
          <w:t>Положением</w:t>
        </w:r>
      </w:hyperlink>
      <w:r>
        <w:t xml:space="preserve"> Банка России N 383-П, с учетом следующего.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1.7.1. В реквизите "</w:t>
      </w:r>
      <w:proofErr w:type="spellStart"/>
      <w:r>
        <w:t>Сч</w:t>
      </w:r>
      <w:proofErr w:type="spellEnd"/>
      <w:r>
        <w:t>. N" плательщика ("</w:t>
      </w:r>
      <w:proofErr w:type="spellStart"/>
      <w:r>
        <w:t>Сч</w:t>
      </w:r>
      <w:proofErr w:type="spellEnd"/>
      <w:r>
        <w:t>. N" получателя средств) указывается значение, которое состоит из двадцати цифр и начинается с цифры "0".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1.7.2. В реквизите "Банк плательщика" ("Банк получателя") указывается наименование банка плательщика и (или) банка получателя, обслуживающих территориальный орган Федерального казначейства, знак "//", сокращенное наименование и место нахождения территориального органа Федерального казначейства.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1.7.3. В реквизите "БИК" банка плательщика ("БИК" банка получателя) указывается БИК территориального органа Федерального казначейства.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1.7.4. В реквизите "</w:t>
      </w:r>
      <w:proofErr w:type="spellStart"/>
      <w:r>
        <w:t>Сч</w:t>
      </w:r>
      <w:proofErr w:type="spellEnd"/>
      <w:r>
        <w:t>. N" банка плательщика ("</w:t>
      </w:r>
      <w:proofErr w:type="spellStart"/>
      <w:r>
        <w:t>Сч</w:t>
      </w:r>
      <w:proofErr w:type="spellEnd"/>
      <w:r>
        <w:t>. N" банка получателя) указывается номер банковского счета в составе единого казначейского счета, открытого территориальному органу Федерального казначейства.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lastRenderedPageBreak/>
        <w:t xml:space="preserve">1.7.5. На платежных поручениях, плательщиками по которым являются территориальные органы Федерального казначейства, осуществляющие предусмотренные </w:t>
      </w:r>
      <w:hyperlink r:id="rId21" w:history="1">
        <w:r>
          <w:rPr>
            <w:color w:val="0000FF"/>
          </w:rPr>
          <w:t>статьей 242.13</w:t>
        </w:r>
      </w:hyperlink>
      <w:r>
        <w:t xml:space="preserve"> Бюджетного кодекса Российской Федерации операции по управлению остатками средств на едином казначейском счете, открытом территориальному органу Федерального казначейства, в случае их оформления на бумажном носителе ставятся подписи должностных лиц территориального органа Федерального казначейства, наделенных правом подписи, и печать территориального органа Федерального казначейства в соответствии с карточкой с образцами подписей и оттиска печати.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 xml:space="preserve">1.8. Банки при изменении реквизитов банковских счетов территориальных органов Федерального казначейства осуществляют работу с принятыми к исполнению распоряжениями о переводе денежных средств (далее - распоряжения), в которых изменяются эти реквизиты, в электронном виде, на бумажных носителях в порядке, аналогичном порядку, предусмотренному </w:t>
      </w:r>
      <w:hyperlink r:id="rId22" w:history="1">
        <w:r>
          <w:rPr>
            <w:color w:val="0000FF"/>
          </w:rPr>
          <w:t>Указанием</w:t>
        </w:r>
      </w:hyperlink>
      <w:r>
        <w:t xml:space="preserve"> Банка России от 24 декабря 2012 года N 2946-У "О работе с распоряжениями о переводе денежных средств при изменении реквизитов банков, их клиентов", зарегистрированным Министерством юстиции Российской Федерации 18 февраля 2013 года N 27153, 2 ноября 2018 года N 52601, на основании информации о новых реквизитах банковских счетов, входящих в состав единого казначейского счета, открытого территориальному органу Федерального казначейства, и о соответствующих им прежних реквизитах, полученной от Банка России, с учетом следующего.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1.8.1. При составлении платежного ордера: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в реквизитах "Плательщик", "Получатель" указывается (переносится из соответствующих реквизитов распоряжения, по которому осуществляется исполнение) информация об организации;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в реквизитах "</w:t>
      </w:r>
      <w:proofErr w:type="spellStart"/>
      <w:r>
        <w:t>Сч</w:t>
      </w:r>
      <w:proofErr w:type="spellEnd"/>
      <w:r>
        <w:t>. N" плательщика, "</w:t>
      </w:r>
      <w:proofErr w:type="spellStart"/>
      <w:r>
        <w:t>Сч</w:t>
      </w:r>
      <w:proofErr w:type="spellEnd"/>
      <w:r>
        <w:t>. N" получателя средств указывается номер казначейского счета, открытый в территориальном органе Федерального казначейства, который состоит из двадцати цифр и начинается с цифры "0";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в реквизитах "Банк плательщика", "Банк получателя" указываются наименование банка плательщика и (или) банка получателя, обслуживающих территориальный орган Федерального казначейства, знак "//", сокращенное наименование и место нахождения территориального органа Федерального казначейства;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в реквизитах "БИК" банка плательщика, "БИК" банка получателя указывается БИК территориального органа Федерального казначейства;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в реквизитах "</w:t>
      </w:r>
      <w:proofErr w:type="spellStart"/>
      <w:r>
        <w:t>Сч</w:t>
      </w:r>
      <w:proofErr w:type="spellEnd"/>
      <w:r>
        <w:t>. N" банка плательщика, "</w:t>
      </w:r>
      <w:proofErr w:type="spellStart"/>
      <w:r>
        <w:t>Сч</w:t>
      </w:r>
      <w:proofErr w:type="spellEnd"/>
      <w:r>
        <w:t>. N" банка получателя указывается номер банковского счета, входящего в состав единого казначейского счета, открытого территориальному органу Федерального казначейства.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1.8.2. При затруднении идентификации получателем средств, организацией распоряжения, на основании которого поступили денежные средства в соответствии с новыми реквизитами, банк получателя, территориальный орган Федерального казначейства направляют в банк плательщика, территориальный орган Федерального казначейства запрос в электронном виде или на бумажном носителе в произвольной форме. По получении ответа банк получателя средств уведомляет об этом получателя средств, территориальный орган Федерального казначейства - организацию.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1.9. Расчетное обслуживание банковских счетов по операциям в иностранной валюте, проводимым банками в соответствии с договором банковского счета, осуществляется с учетом настоящего Положения.</w:t>
      </w:r>
    </w:p>
    <w:p w:rsidR="00355562" w:rsidRDefault="00355562">
      <w:pPr>
        <w:pStyle w:val="ConsPlusNormal"/>
        <w:jc w:val="both"/>
      </w:pPr>
    </w:p>
    <w:p w:rsidR="00355562" w:rsidRDefault="00355562">
      <w:pPr>
        <w:pStyle w:val="ConsPlusTitle"/>
        <w:ind w:firstLine="540"/>
        <w:jc w:val="both"/>
        <w:outlineLvl w:val="0"/>
      </w:pPr>
      <w:r>
        <w:t>Глава 2. Кассовое обслуживание банковских счетов</w:t>
      </w:r>
    </w:p>
    <w:p w:rsidR="00355562" w:rsidRDefault="00355562">
      <w:pPr>
        <w:pStyle w:val="ConsPlusNormal"/>
        <w:jc w:val="both"/>
      </w:pPr>
    </w:p>
    <w:p w:rsidR="00355562" w:rsidRDefault="00355562">
      <w:pPr>
        <w:pStyle w:val="ConsPlusNormal"/>
        <w:ind w:firstLine="540"/>
        <w:jc w:val="both"/>
      </w:pPr>
      <w:r>
        <w:t xml:space="preserve">2.1. При открытии территориальным органам Федерального казначейства банковских счетов, </w:t>
      </w:r>
      <w:r>
        <w:lastRenderedPageBreak/>
        <w:t>предназначенных для выдачи и внесения наличных денег, территориальные органы Федерального казначейства представляют в банки списки организаций (далее - Списки).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В Списках указываются сроки выплаты заработной платы по каждой организации.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Списки подписываются должностными лицами территориального органа Федерального казначейства, наделенными правом подписи, и заверяются оттиском печати территориального органа Федерального казначейства.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При изменении состава организаций и (или) сроков выплаты заработной платы территориальные органы Федерального казначейства представляют в банки уточненные Списки.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 xml:space="preserve">2.2. Выдача наличных денег организациям производится в соответствии с требованиями, установленными </w:t>
      </w:r>
      <w:hyperlink r:id="rId23" w:history="1">
        <w:r>
          <w:rPr>
            <w:color w:val="0000FF"/>
          </w:rPr>
          <w:t>Указанием</w:t>
        </w:r>
      </w:hyperlink>
      <w:r>
        <w:t xml:space="preserve"> Банка России от 12 февраля 2019 года N 5071-У "О правилах проведения кассового обслуживания Банком России кредитных организаций и юридических лиц, не являющихся кредитными организациями", зарегистрированным Министерством юстиции Российской Федерации 15 мая 2019 года N 54632, 9 апреля 2020 года N 58041 (далее - Указание Банка России N 5071-У), </w:t>
      </w:r>
      <w:hyperlink r:id="rId24" w:history="1">
        <w:r>
          <w:rPr>
            <w:color w:val="0000FF"/>
          </w:rPr>
          <w:t>Положением</w:t>
        </w:r>
      </w:hyperlink>
      <w:r>
        <w:t xml:space="preserve"> Банка России от 29 января 2018 года N 630-П "О порядке ведения кассовых операций и правилах хранения, перевозки и инкассации банкнот и монеты Банка России в кредитных организациях на территории Российской Федерации", зарегистрированным Министерством юстиции Российской Федерации 18 июня 2018 года N 51359, 10 июня 2020 года N 58625 (далее - Положение Банка России N 630-П), и настоящим Положением, в пределах остатка денежных средств на банковском счете, предназначенном для выдачи и внесения наличных денег, имеющегося на начало операционного дня или, при возможности, на момент выдачи в соответствии с графиком кассового обслуживания организаций.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 xml:space="preserve">2.3. Подразделения Банка России выдают территориальным органам Федерального казначейства необходимое количество денежных чековых книжек для каждой организации в соответствии с </w:t>
      </w:r>
      <w:hyperlink r:id="rId25" w:history="1">
        <w:r>
          <w:rPr>
            <w:color w:val="0000FF"/>
          </w:rPr>
          <w:t>пунктом 11</w:t>
        </w:r>
      </w:hyperlink>
      <w:r>
        <w:t xml:space="preserve"> Указания Банка России N 5071-У.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 xml:space="preserve">Кредитные организации выдают территориальным органам Федерального казначейства необходимое количество денежных чековых книжек для каждой организации в соответствии с правилами документооборота по выдаче (продаже) денежных чековых книжек клиентам, утвержденными кредитными организациями в соответствии с </w:t>
      </w:r>
      <w:hyperlink r:id="rId26" w:history="1">
        <w:r>
          <w:rPr>
            <w:color w:val="0000FF"/>
          </w:rPr>
          <w:t>подпунктом 1.8.10 пункта 1.8 части III</w:t>
        </w:r>
      </w:hyperlink>
      <w:r>
        <w:t xml:space="preserve"> приложения к Положению Банка России от 27 февраля 2017 года N 579-П "О Плане счетов бухгалтерского учета для кредитных организаций и порядке его применения", зарегистрированному Министерством юстиции Российской Федерации 20 марта 2017 года N 46021, 20 июля 2017 года N 47474, 12 декабря 2017 года N 49220, 12 марта 2018 года N 50299, 3 декабря 2018 года N 52845, 16 января 2019 года N 53372, 26 марта 2019 года N 54165, 18 июня 2020 года N 58690 (далее - Положение Банка России N 579-П).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Бланки денежных чеков в выданных денежных чековых книжках должны иметь последовательную (сквозную) нумерацию.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Банки принимают денежные чековые книжки с оставшимися неиспользованными денежными чеками и корешками от территориального органа Федерального казначейства в случае: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закрытия лицевых счетов организации в территориальном органе Федерального казначейства, финансовом органе, органе управления внебюджетным фондом;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изменения наименования организации;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закрытия или изменения номеров банковских счетов, предназначенных для выдачи и внесения наличных денег.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 xml:space="preserve">2.4. Выдача наличных денег из кассы подразделения Банка России в случае представления </w:t>
      </w:r>
      <w:r>
        <w:lastRenderedPageBreak/>
        <w:t xml:space="preserve">территориальным органом Федерального казначейства в подразделение Банка России заявки на сдачу/получение наличных денег </w:t>
      </w:r>
      <w:hyperlink r:id="rId27" w:history="1">
        <w:r>
          <w:rPr>
            <w:color w:val="0000FF"/>
          </w:rPr>
          <w:t>0402108</w:t>
        </w:r>
      </w:hyperlink>
      <w:r>
        <w:t xml:space="preserve"> на бумажном носителе, из кассы кредитной организации представителям организаций осуществляется по денежному чеку, оформленному с учетом следующего.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На лицевой стороне денежного чека указываются полное или сокращенное наименование территориального органа Федерального казначейства, номер банковского счета, предназначенного для выдачи и внесения наличных денег, проставляются подписи должностных лиц территориального органа Федерального казначейства, наделенных правом подписи, и печать территориального органа Федерального казначейства в соответствии с карточкой с образцами подписей и оттиска печати.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 xml:space="preserve">На оборотной стороне денежного чека указываются данные паспорта или иного документа, удостоверяющего личность представителя организации, полное или сокращенное наименование организации, направления выдачи наличных денег (за исключением организаций, которые в установленных случаях по условиям своей деятельности не расшифровывают своих расходов), в реквизите "Подписи" проставляются подписи должностных лиц территориального органа Федерального казначейства, наделенных правом подписи, в соответствии с карточкой с образцами подписей и оттиска печати. При этом в реквизите "Цели расхода" ("Направление выдачи") указываются направления выдачи наличных денег в соответствии с символами отчетности по </w:t>
      </w:r>
      <w:hyperlink r:id="rId28" w:history="1">
        <w:r>
          <w:rPr>
            <w:color w:val="0000FF"/>
          </w:rPr>
          <w:t>форме 0409202</w:t>
        </w:r>
      </w:hyperlink>
      <w:r>
        <w:t xml:space="preserve"> "Отчет о наличном денежном обороте", установленной приложением 1 к Указанию Банка России от 8 октября 2018 года N 4927-У "О перечне, формах и порядке составления и представления форм отчетности кредитных организаций в Центральный банк Российской Федерации", зарегистрированному Министерством юстиции Российской Федерации 13 декабря 2018 года N 52992, 13 декабря 2019 года N 56796 (далее - отчет о наличном денежном обороте).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При приеме денежного чека работником подразделения Банка России осуществляется проверка его оформления на соответствие требованиям, установленным настоящим Положением, а также сверка наименования организации со Списком.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 xml:space="preserve">При приеме денежного чека работником кредитной организации осуществляется проверка его оформления на соответствие требованиям, установленным настоящим Положением, </w:t>
      </w:r>
      <w:hyperlink r:id="rId29" w:history="1">
        <w:r>
          <w:rPr>
            <w:color w:val="0000FF"/>
          </w:rPr>
          <w:t>пунктом 1.7</w:t>
        </w:r>
      </w:hyperlink>
      <w:r>
        <w:t xml:space="preserve">, </w:t>
      </w:r>
      <w:hyperlink r:id="rId30" w:history="1">
        <w:r>
          <w:rPr>
            <w:color w:val="0000FF"/>
          </w:rPr>
          <w:t>подпунктами 1.8.8</w:t>
        </w:r>
      </w:hyperlink>
      <w:r>
        <w:t xml:space="preserve"> и </w:t>
      </w:r>
      <w:hyperlink r:id="rId31" w:history="1">
        <w:r>
          <w:rPr>
            <w:color w:val="0000FF"/>
          </w:rPr>
          <w:t>1.8.9 пункта 1.8 части III</w:t>
        </w:r>
      </w:hyperlink>
      <w:r>
        <w:t xml:space="preserve"> приложения к Положению Банка России N 579-П, а также сверка наименования организации со Списком.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 xml:space="preserve">При представлении территориальными органами Федерального казначейства в кредитную организацию заявки в виде электронного документа, предусмотренной </w:t>
      </w:r>
      <w:hyperlink r:id="rId32" w:history="1">
        <w:r>
          <w:rPr>
            <w:color w:val="0000FF"/>
          </w:rPr>
          <w:t>абзацем седьмым пункта 2.3</w:t>
        </w:r>
      </w:hyperlink>
      <w:r>
        <w:t xml:space="preserve"> Положения Банка России N 630-П, или в подразделение Банка России заявки на сдачу/получение наличных денег </w:t>
      </w:r>
      <w:hyperlink r:id="rId33" w:history="1">
        <w:r>
          <w:rPr>
            <w:color w:val="0000FF"/>
          </w:rPr>
          <w:t>0402108</w:t>
        </w:r>
      </w:hyperlink>
      <w:r>
        <w:t xml:space="preserve"> в виде электронного документа выдача наличных денег из кассы подразделения Банка России, кассы кредитной организации представителю организации осуществляется по расходному кассовому ордеру </w:t>
      </w:r>
      <w:hyperlink r:id="rId34" w:history="1">
        <w:r>
          <w:rPr>
            <w:color w:val="0000FF"/>
          </w:rPr>
          <w:t>0402009</w:t>
        </w:r>
      </w:hyperlink>
      <w:r>
        <w:t>, формируемому работником банка, без представления денежного чека.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 xml:space="preserve">2.5. Прием в кассу кредитной организации наличных денег, сумок с наличными деньгами от представителей организаций (сумок с наличными деньгами от инкассаторских работников) осуществляется по объявлениям на взнос наличными </w:t>
      </w:r>
      <w:hyperlink r:id="rId35" w:history="1">
        <w:r>
          <w:rPr>
            <w:color w:val="0000FF"/>
          </w:rPr>
          <w:t>0402001</w:t>
        </w:r>
      </w:hyperlink>
      <w:r>
        <w:t xml:space="preserve"> (по препроводительным ведомостям к сумкам </w:t>
      </w:r>
      <w:hyperlink r:id="rId36" w:history="1">
        <w:r>
          <w:rPr>
            <w:color w:val="0000FF"/>
          </w:rPr>
          <w:t>0402300</w:t>
        </w:r>
      </w:hyperlink>
      <w:r>
        <w:t xml:space="preserve">) в соответствии с требованиями, установленными </w:t>
      </w:r>
      <w:hyperlink r:id="rId37" w:history="1">
        <w:r>
          <w:rPr>
            <w:color w:val="0000FF"/>
          </w:rPr>
          <w:t>Положением</w:t>
        </w:r>
      </w:hyperlink>
      <w:r>
        <w:t xml:space="preserve"> Банка России N 630-П и настоящим Положением, для зачисления на банковский счет, предназначенный для выдачи и внесения наличных денег.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 xml:space="preserve">Прием наличных денег в кассы подразделений Банка России от представителей организаций в случае представления территориальным органом Федерального казначейства заявки на сдачу/получение наличных денег </w:t>
      </w:r>
      <w:hyperlink r:id="rId38" w:history="1">
        <w:r>
          <w:rPr>
            <w:color w:val="0000FF"/>
          </w:rPr>
          <w:t>0402108</w:t>
        </w:r>
      </w:hyperlink>
      <w:r>
        <w:t xml:space="preserve"> на бумажном носителе осуществляется по объявлениям на взнос наличными </w:t>
      </w:r>
      <w:hyperlink r:id="rId39" w:history="1">
        <w:r>
          <w:rPr>
            <w:color w:val="0000FF"/>
          </w:rPr>
          <w:t>0402001</w:t>
        </w:r>
      </w:hyperlink>
      <w:r>
        <w:t xml:space="preserve"> в соответствии с требованиями, установленными </w:t>
      </w:r>
      <w:hyperlink r:id="rId40" w:history="1">
        <w:r>
          <w:rPr>
            <w:color w:val="0000FF"/>
          </w:rPr>
          <w:t>Указанием</w:t>
        </w:r>
      </w:hyperlink>
      <w:r>
        <w:t xml:space="preserve"> Банка России N 5071-У и настоящим Положением, для зачисления на банковский счет, предназначенный </w:t>
      </w:r>
      <w:r>
        <w:lastRenderedPageBreak/>
        <w:t>для выдачи и внесения наличных денег.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 xml:space="preserve">Объявление на взнос наличными </w:t>
      </w:r>
      <w:hyperlink r:id="rId41" w:history="1">
        <w:r>
          <w:rPr>
            <w:color w:val="0000FF"/>
          </w:rPr>
          <w:t>0402001</w:t>
        </w:r>
      </w:hyperlink>
      <w:r>
        <w:t xml:space="preserve">, препроводительная ведомость к сумке </w:t>
      </w:r>
      <w:hyperlink r:id="rId42" w:history="1">
        <w:r>
          <w:rPr>
            <w:color w:val="0000FF"/>
          </w:rPr>
          <w:t>0402300</w:t>
        </w:r>
      </w:hyperlink>
      <w:r>
        <w:t xml:space="preserve"> составляются по формам, установленным </w:t>
      </w:r>
      <w:hyperlink r:id="rId43" w:history="1">
        <w:r>
          <w:rPr>
            <w:color w:val="0000FF"/>
          </w:rPr>
          <w:t>Указанием</w:t>
        </w:r>
      </w:hyperlink>
      <w:r>
        <w:t xml:space="preserve"> Банка России от 30 июля 2014 года N 3352-У "О формах документов, применяемых кредитными организациями на территории Российской Федерации при осуществлении кассовых операций с банкнотами и монетой Банка России, банкнотами и монетой иностранных государств (группы иностранных государств), операций со слитками драгоценных металлов, и порядке их заполнения и оформления", зарегистрированным Министерством юстиции Российской Федерации 24 сентября 2014 года N 34110, и оформляются с учетом следующего.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 xml:space="preserve">2.5.1. В реквизите "От кого" объявления на взнос наличными </w:t>
      </w:r>
      <w:hyperlink r:id="rId44" w:history="1">
        <w:r>
          <w:rPr>
            <w:color w:val="0000FF"/>
          </w:rPr>
          <w:t>0402001</w:t>
        </w:r>
      </w:hyperlink>
      <w:r>
        <w:t xml:space="preserve">, препроводительной ведомости к сумке </w:t>
      </w:r>
      <w:hyperlink r:id="rId45" w:history="1">
        <w:r>
          <w:rPr>
            <w:color w:val="0000FF"/>
          </w:rPr>
          <w:t>0402300</w:t>
        </w:r>
      </w:hyperlink>
      <w:r>
        <w:t xml:space="preserve"> указываются фамилия, имя и отчество (последнее - при наличии) представителя организации, сдающего наличные деньги. В случае сдачи сумки с наличными деньгами инкассаторскими работниками в </w:t>
      </w:r>
      <w:hyperlink r:id="rId46" w:history="1">
        <w:r>
          <w:rPr>
            <w:color w:val="0000FF"/>
          </w:rPr>
          <w:t>реквизите</w:t>
        </w:r>
      </w:hyperlink>
      <w:r>
        <w:t xml:space="preserve"> "От кого" препроводительной ведомости к сумке 0402300 указывается полное или сокращенное наименование организации.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 xml:space="preserve">2.5.2. В реквизите "Получатель" объявления на взнос наличными </w:t>
      </w:r>
      <w:hyperlink r:id="rId47" w:history="1">
        <w:r>
          <w:rPr>
            <w:color w:val="0000FF"/>
          </w:rPr>
          <w:t>0402001</w:t>
        </w:r>
      </w:hyperlink>
      <w:r>
        <w:t xml:space="preserve">, препроводительной ведомости к сумке </w:t>
      </w:r>
      <w:hyperlink r:id="rId48" w:history="1">
        <w:r>
          <w:rPr>
            <w:color w:val="0000FF"/>
          </w:rPr>
          <w:t>0402300</w:t>
        </w:r>
      </w:hyperlink>
      <w:r>
        <w:t xml:space="preserve"> указываются полное или сокращенное наименование территориального органа Федерального казначейства, в скобках полное или сокращенное наименование организации, вносящей наличные деньги, администратора доходов бюджета в случае внесения организацией в соответствующий бюджет бюджетной системы Российской Федерации (далее - соответствующий бюджет) доходов от платных услуг, а также номер лицевого счета, открытого организации.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В случае внесения наличных денег, являющихся в соответствии с бюджетным законодательством Российской Федерации источником дополнительного бюджетного финансирования организации, в реквизите "Получатель" указываются полное или сокращенное наименование территориального органа Федерального казначейства, в скобках полное или сокращенное наименование администратора доходов бюджета, осуществляющего администрирование платежа в соответствии с бюджетным законодательством Российской Федерации, а также номер лицевого счета организации.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Банки не осуществляют контроль за наличием и содержанием информации, указываемой в скобках.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 xml:space="preserve">2.5.3. В реквизите "ИНН" объявления на взнос наличными </w:t>
      </w:r>
      <w:hyperlink r:id="rId49" w:history="1">
        <w:r>
          <w:rPr>
            <w:color w:val="0000FF"/>
          </w:rPr>
          <w:t>0402001</w:t>
        </w:r>
      </w:hyperlink>
      <w:r>
        <w:t xml:space="preserve">, препроводительной ведомости к сумке </w:t>
      </w:r>
      <w:hyperlink r:id="rId50" w:history="1">
        <w:r>
          <w:rPr>
            <w:color w:val="0000FF"/>
          </w:rPr>
          <w:t>0402300</w:t>
        </w:r>
      </w:hyperlink>
      <w:r>
        <w:t xml:space="preserve"> указываются: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ИНН организации;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ИНН администратора доходов бюджета в случае внесения организацией в соответствующий бюджет доходов от платных услуг;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ИНН организации - администратора доходов бюджета, осуществляющего администрирование платежа в соответствии с бюджетным законодательством Российской Федерации, в случае внесения наличных денег, являющихся в соответствии с бюджетным законодательством Российской Федерации источником дополнительного бюджетного финансирования организации.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Банки не осуществляют контроль за содержанием информации, указываемой в реквизите "ИНН".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 xml:space="preserve">2.5.4. В реквизите "Счет N" объявления на взнос наличными </w:t>
      </w:r>
      <w:hyperlink r:id="rId51" w:history="1">
        <w:r>
          <w:rPr>
            <w:color w:val="0000FF"/>
          </w:rPr>
          <w:t>0402001</w:t>
        </w:r>
      </w:hyperlink>
      <w:r>
        <w:t xml:space="preserve">, препроводительной ведомости к сумке </w:t>
      </w:r>
      <w:hyperlink r:id="rId52" w:history="1">
        <w:r>
          <w:rPr>
            <w:color w:val="0000FF"/>
          </w:rPr>
          <w:t>0402300</w:t>
        </w:r>
      </w:hyperlink>
      <w:r>
        <w:t xml:space="preserve"> указывается номер банковского счета, предназначенного для выдачи и внесения наличных денег.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lastRenderedPageBreak/>
        <w:t xml:space="preserve">2.5.5. В реквизите "Свободное поле" объявления на взнос наличными </w:t>
      </w:r>
      <w:hyperlink r:id="rId53" w:history="1">
        <w:r>
          <w:rPr>
            <w:color w:val="0000FF"/>
          </w:rPr>
          <w:t>0402001</w:t>
        </w:r>
      </w:hyperlink>
      <w:r>
        <w:t xml:space="preserve">, препроводительной ведомости к сумке </w:t>
      </w:r>
      <w:hyperlink r:id="rId54" w:history="1">
        <w:r>
          <w:rPr>
            <w:color w:val="0000FF"/>
          </w:rPr>
          <w:t>0402300</w:t>
        </w:r>
      </w:hyperlink>
      <w:r>
        <w:t xml:space="preserve"> указываются: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КПП организации (при наличии);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КПП администратора доходов бюджета в случае внесения организацией в соответствующий бюджет доходов от платных услуг;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КПП организации - администратора доходов бюджета, осуществляющего администрирование платежа в соответствии с бюджетным законодательством Российской Федерации, в случае внесения наличных денег, являющихся в соответствии с бюджетным законодательством Российской Федерации источником дополнительного бюджетного финансирования организации;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 xml:space="preserve">код территории муниципального образования (межселенной территории) в соответствии с Общероссийским </w:t>
      </w:r>
      <w:hyperlink r:id="rId55" w:history="1">
        <w:r>
          <w:rPr>
            <w:color w:val="0000FF"/>
          </w:rPr>
          <w:t>классификатором</w:t>
        </w:r>
      </w:hyperlink>
      <w:r>
        <w:t xml:space="preserve"> территорий муниципальных образований (ОКТМО) в случае внесения организацией в соответствующий бюджет доходов от платных услуг.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Банки не осуществляют контроль за содержанием информации, указываемой в реквизите "Свободное поле".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 xml:space="preserve">2.5.6. В реквизите "Источник поступления" объявления на взнос наличными </w:t>
      </w:r>
      <w:hyperlink r:id="rId56" w:history="1">
        <w:r>
          <w:rPr>
            <w:color w:val="0000FF"/>
          </w:rPr>
          <w:t>0402001</w:t>
        </w:r>
      </w:hyperlink>
      <w:r>
        <w:t xml:space="preserve">, препроводительной ведомости к сумке </w:t>
      </w:r>
      <w:hyperlink r:id="rId57" w:history="1">
        <w:r>
          <w:rPr>
            <w:color w:val="0000FF"/>
          </w:rPr>
          <w:t>0402300</w:t>
        </w:r>
      </w:hyperlink>
      <w:r>
        <w:t xml:space="preserve"> указываются: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источник поступления наличных денег в соответствии с символами отчета о наличном денежном обороте;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коды бюджетной классификации Российской Федерации (коды операций) (за исключением операций, которые в соответствии с законодательством Российской Федерации не подлежат учету по кодам бюджетной классификации Российской Федерации), по которым вносимые средства подлежат отражению на лицевом счете организации или лицевом счете администратора доходов бюджета в случае внесения организацией в соответствующий бюджет доходов от платных услуг, открытых в территориальном органе Федерального казначейства, финансовом органе, органе управления внебюджетным фондом;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информация в целях соблюдения порядка исполнения бюджета по расходам;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информация в целях соблюдения порядка казначейского обслуживания.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При внесении наличных денег, являющихся в соответствии с бюджетным законодательством Российской Федерации источником дополнительного бюджетного финансирования организации, в реквизите "Источник поступления" указываются код бюджетной классификации доходов (при этом все знаки одновременно не могут принимать значение "0" (ноль) и наименование вида средств - "средства дополнительного бюджетного финансирования".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Банки не осуществляют контроль за информацией, указываемой в реквизите "Источник поступления".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 xml:space="preserve">2.5.7. В реквизите "символ" объявления </w:t>
      </w:r>
      <w:hyperlink r:id="rId58" w:history="1">
        <w:r>
          <w:rPr>
            <w:color w:val="0000FF"/>
          </w:rPr>
          <w:t>0402001</w:t>
        </w:r>
      </w:hyperlink>
      <w:r>
        <w:t xml:space="preserve">, ордера </w:t>
      </w:r>
      <w:hyperlink r:id="rId59" w:history="1">
        <w:r>
          <w:rPr>
            <w:color w:val="0000FF"/>
          </w:rPr>
          <w:t>0402001</w:t>
        </w:r>
      </w:hyperlink>
      <w:r>
        <w:t xml:space="preserve">, ведомости к сумке </w:t>
      </w:r>
      <w:hyperlink r:id="rId60" w:history="1">
        <w:r>
          <w:rPr>
            <w:color w:val="0000FF"/>
          </w:rPr>
          <w:t>0402300</w:t>
        </w:r>
      </w:hyperlink>
      <w:r>
        <w:t xml:space="preserve">, накладной к сумке </w:t>
      </w:r>
      <w:hyperlink r:id="rId61" w:history="1">
        <w:r>
          <w:rPr>
            <w:color w:val="0000FF"/>
          </w:rPr>
          <w:t>0402300</w:t>
        </w:r>
      </w:hyperlink>
      <w:r>
        <w:t xml:space="preserve">, квитанции к сумке </w:t>
      </w:r>
      <w:hyperlink r:id="rId62" w:history="1">
        <w:r>
          <w:rPr>
            <w:color w:val="0000FF"/>
          </w:rPr>
          <w:t>0402300</w:t>
        </w:r>
      </w:hyperlink>
      <w:r>
        <w:t xml:space="preserve"> указываются соответствующие символы отчета о наличном денежном обороте.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 xml:space="preserve">В случае указания в реквизите "символ" объявления </w:t>
      </w:r>
      <w:hyperlink r:id="rId63" w:history="1">
        <w:r>
          <w:rPr>
            <w:color w:val="0000FF"/>
          </w:rPr>
          <w:t>0402001</w:t>
        </w:r>
      </w:hyperlink>
      <w:r>
        <w:t xml:space="preserve">, ордера </w:t>
      </w:r>
      <w:hyperlink r:id="rId64" w:history="1">
        <w:r>
          <w:rPr>
            <w:color w:val="0000FF"/>
          </w:rPr>
          <w:t>0402001</w:t>
        </w:r>
      </w:hyperlink>
      <w:r>
        <w:t xml:space="preserve"> символа отчета о наличном денежном обороте, не соответствующего источнику поступления наличных денег, указанному в </w:t>
      </w:r>
      <w:hyperlink r:id="rId65" w:history="1">
        <w:r>
          <w:rPr>
            <w:color w:val="0000FF"/>
          </w:rPr>
          <w:t>реквизите</w:t>
        </w:r>
      </w:hyperlink>
      <w:r>
        <w:t xml:space="preserve"> "Источник поступления" объявления на взнос наличными 0402001, работник банка предлагает представителю организации заново заполнить объявление на взнос </w:t>
      </w:r>
      <w:r>
        <w:lastRenderedPageBreak/>
        <w:t xml:space="preserve">наличными </w:t>
      </w:r>
      <w:hyperlink r:id="rId66" w:history="1">
        <w:r>
          <w:rPr>
            <w:color w:val="0000FF"/>
          </w:rPr>
          <w:t>0402001</w:t>
        </w:r>
      </w:hyperlink>
      <w:r>
        <w:t xml:space="preserve">. При этом первоначально оформленное объявление на взнос наличными </w:t>
      </w:r>
      <w:hyperlink r:id="rId67" w:history="1">
        <w:r>
          <w:rPr>
            <w:color w:val="0000FF"/>
          </w:rPr>
          <w:t>0402001</w:t>
        </w:r>
      </w:hyperlink>
      <w:r>
        <w:t xml:space="preserve"> работник банка перечеркивает, на обороте объявления на взнос наличными </w:t>
      </w:r>
      <w:hyperlink r:id="rId68" w:history="1">
        <w:r>
          <w:rPr>
            <w:color w:val="0000FF"/>
          </w:rPr>
          <w:t>0402001</w:t>
        </w:r>
      </w:hyperlink>
      <w:r>
        <w:t xml:space="preserve"> указывает причину его непринятия и ставит свою подпись, после чего возвращает первоначально оформленное объявление на взнос наличными </w:t>
      </w:r>
      <w:hyperlink r:id="rId69" w:history="1">
        <w:r>
          <w:rPr>
            <w:color w:val="0000FF"/>
          </w:rPr>
          <w:t>0402001</w:t>
        </w:r>
      </w:hyperlink>
      <w:r>
        <w:t xml:space="preserve"> представителю организации.</w:t>
      </w:r>
    </w:p>
    <w:p w:rsidR="00355562" w:rsidRDefault="00355562">
      <w:pPr>
        <w:pStyle w:val="ConsPlusNonformat"/>
        <w:spacing w:before="200"/>
        <w:jc w:val="both"/>
      </w:pPr>
      <w:r>
        <w:t xml:space="preserve">    2.5.8. В реквизите "</w:t>
      </w:r>
      <w:proofErr w:type="spellStart"/>
      <w:r>
        <w:t>Вноситель</w:t>
      </w:r>
      <w:proofErr w:type="spellEnd"/>
      <w:r>
        <w:t xml:space="preserve"> ____________________" объявления </w:t>
      </w:r>
      <w:hyperlink r:id="rId70" w:history="1">
        <w:r>
          <w:rPr>
            <w:color w:val="0000FF"/>
          </w:rPr>
          <w:t>0402001</w:t>
        </w:r>
      </w:hyperlink>
      <w:r>
        <w:t>,</w:t>
      </w:r>
    </w:p>
    <w:p w:rsidR="00355562" w:rsidRDefault="00355562">
      <w:pPr>
        <w:pStyle w:val="ConsPlusNonformat"/>
        <w:jc w:val="both"/>
      </w:pPr>
      <w:r>
        <w:t xml:space="preserve">                                    (личная подпись)</w:t>
      </w:r>
    </w:p>
    <w:p w:rsidR="00355562" w:rsidRDefault="00355562">
      <w:pPr>
        <w:pStyle w:val="ConsPlusNonformat"/>
        <w:jc w:val="both"/>
      </w:pPr>
      <w:r>
        <w:t>реквизите "Клиент ________________ _____________________" препроводительной</w:t>
      </w:r>
    </w:p>
    <w:p w:rsidR="00355562" w:rsidRDefault="00355562">
      <w:pPr>
        <w:pStyle w:val="ConsPlusNonformat"/>
        <w:jc w:val="both"/>
      </w:pPr>
      <w:r>
        <w:t xml:space="preserve">                  (личная </w:t>
      </w:r>
      <w:proofErr w:type="gramStart"/>
      <w:r>
        <w:t>подпись)  (</w:t>
      </w:r>
      <w:proofErr w:type="gramEnd"/>
      <w:r>
        <w:t>фамилия, инициалы)</w:t>
      </w:r>
    </w:p>
    <w:p w:rsidR="00355562" w:rsidRDefault="00355562">
      <w:pPr>
        <w:pStyle w:val="ConsPlusNonformat"/>
        <w:jc w:val="both"/>
      </w:pPr>
      <w:proofErr w:type="gramStart"/>
      <w:r>
        <w:t>ведомости  к</w:t>
      </w:r>
      <w:proofErr w:type="gramEnd"/>
      <w:r>
        <w:t xml:space="preserve">  сумке </w:t>
      </w:r>
      <w:hyperlink r:id="rId71" w:history="1">
        <w:r>
          <w:rPr>
            <w:color w:val="0000FF"/>
          </w:rPr>
          <w:t>0402300</w:t>
        </w:r>
      </w:hyperlink>
      <w:r>
        <w:t xml:space="preserve"> проставляется подпись вносящего наличные деньги</w:t>
      </w:r>
    </w:p>
    <w:p w:rsidR="00355562" w:rsidRDefault="00355562">
      <w:pPr>
        <w:pStyle w:val="ConsPlusNonformat"/>
        <w:jc w:val="both"/>
      </w:pPr>
      <w:proofErr w:type="gramStart"/>
      <w:r>
        <w:t>представителя  организации</w:t>
      </w:r>
      <w:proofErr w:type="gramEnd"/>
      <w:r>
        <w:t xml:space="preserve">.  </w:t>
      </w:r>
      <w:proofErr w:type="gramStart"/>
      <w:r>
        <w:t>В  случае</w:t>
      </w:r>
      <w:proofErr w:type="gramEnd"/>
      <w:r>
        <w:t xml:space="preserve">  сдачи  сумки  с  наличными деньгами</w:t>
      </w:r>
    </w:p>
    <w:p w:rsidR="00355562" w:rsidRDefault="00355562">
      <w:pPr>
        <w:pStyle w:val="ConsPlusNonformat"/>
        <w:jc w:val="both"/>
      </w:pPr>
      <w:r>
        <w:t xml:space="preserve">инкассаторскими   работниками   в   </w:t>
      </w:r>
      <w:proofErr w:type="gramStart"/>
      <w:r>
        <w:t>реквизите  "</w:t>
      </w:r>
      <w:proofErr w:type="gramEnd"/>
      <w:r>
        <w:t>Клиент ____________________</w:t>
      </w:r>
    </w:p>
    <w:p w:rsidR="00355562" w:rsidRDefault="00355562">
      <w:pPr>
        <w:pStyle w:val="ConsPlusNonformat"/>
        <w:jc w:val="both"/>
      </w:pPr>
      <w:r>
        <w:t xml:space="preserve">                                                         (личная подпись)</w:t>
      </w:r>
    </w:p>
    <w:p w:rsidR="00355562" w:rsidRDefault="00355562">
      <w:pPr>
        <w:pStyle w:val="ConsPlusNonformat"/>
        <w:jc w:val="both"/>
      </w:pPr>
      <w:r>
        <w:t>_________________________</w:t>
      </w:r>
      <w:proofErr w:type="gramStart"/>
      <w:r>
        <w:t>"  препроводительной</w:t>
      </w:r>
      <w:proofErr w:type="gramEnd"/>
      <w:r>
        <w:t xml:space="preserve">  ведомости  к  сумке  </w:t>
      </w:r>
      <w:hyperlink r:id="rId72" w:history="1">
        <w:r>
          <w:rPr>
            <w:color w:val="0000FF"/>
          </w:rPr>
          <w:t>0402300</w:t>
        </w:r>
      </w:hyperlink>
    </w:p>
    <w:p w:rsidR="00355562" w:rsidRDefault="00355562">
      <w:pPr>
        <w:pStyle w:val="ConsPlusNonformat"/>
        <w:jc w:val="both"/>
      </w:pPr>
      <w:r>
        <w:t xml:space="preserve">   (фамилия, инициалы)</w:t>
      </w:r>
    </w:p>
    <w:p w:rsidR="00355562" w:rsidRDefault="00355562">
      <w:pPr>
        <w:pStyle w:val="ConsPlusNonformat"/>
        <w:jc w:val="both"/>
      </w:pPr>
      <w:r>
        <w:t>проставляется подпись лица, формировавшего сумку с наличными деньгами.</w:t>
      </w:r>
    </w:p>
    <w:p w:rsidR="00355562" w:rsidRDefault="00355562">
      <w:pPr>
        <w:pStyle w:val="ConsPlusNormal"/>
        <w:ind w:firstLine="540"/>
        <w:jc w:val="both"/>
      </w:pPr>
      <w:r>
        <w:t xml:space="preserve">2.6. При представлении территориальными органами Федерального казначейства в кредитную организацию заявки в виде электронного документа, предусмотренной </w:t>
      </w:r>
      <w:hyperlink r:id="rId73" w:history="1">
        <w:r>
          <w:rPr>
            <w:color w:val="0000FF"/>
          </w:rPr>
          <w:t>абзацем седьмым пункта 2.3</w:t>
        </w:r>
      </w:hyperlink>
      <w:r>
        <w:t xml:space="preserve"> Положения Банка России N 630-П, или в подразделение Банка России заявки на сдачу/получение наличных денег </w:t>
      </w:r>
      <w:hyperlink r:id="rId74" w:history="1">
        <w:r>
          <w:rPr>
            <w:color w:val="0000FF"/>
          </w:rPr>
          <w:t>0402108</w:t>
        </w:r>
      </w:hyperlink>
      <w:r>
        <w:t xml:space="preserve"> в виде электронного документа прием наличных денег в кассу подразделения Банка России, кассу кредитной организации от представителя организации осуществляется по приходному кассовому ордеру </w:t>
      </w:r>
      <w:hyperlink r:id="rId75" w:history="1">
        <w:r>
          <w:rPr>
            <w:color w:val="0000FF"/>
          </w:rPr>
          <w:t>0402008</w:t>
        </w:r>
      </w:hyperlink>
      <w:r>
        <w:t xml:space="preserve">, формируемому работником банка, без представления объявлений на взнос наличными </w:t>
      </w:r>
      <w:hyperlink r:id="rId76" w:history="1">
        <w:r>
          <w:rPr>
            <w:color w:val="0000FF"/>
          </w:rPr>
          <w:t>0402001</w:t>
        </w:r>
      </w:hyperlink>
      <w:r>
        <w:t>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 xml:space="preserve">2.7. Работа с денежными знаками, вызывающими сомнение в их платежеспособности (далее - сомнительные денежные знаки), выявленными при приеме наличных денег от представителя организации, в банках при пересчете наличных денег из сумки, поступившей от организации, в кредитной организации (филиале), а также прием банками на экспертизу сомнительных денежных знаков, выявленных организациями, осуществляются подразделениями Банка России в порядке, установленном </w:t>
      </w:r>
      <w:hyperlink r:id="rId77" w:history="1">
        <w:r>
          <w:rPr>
            <w:color w:val="0000FF"/>
          </w:rPr>
          <w:t>Указанием</w:t>
        </w:r>
      </w:hyperlink>
      <w:r>
        <w:t xml:space="preserve"> Банка России N 5071-У и настоящим Положением, кредитными организациями (филиалами) в порядке, установленном </w:t>
      </w:r>
      <w:hyperlink r:id="rId78" w:history="1">
        <w:r>
          <w:rPr>
            <w:color w:val="0000FF"/>
          </w:rPr>
          <w:t>Положением</w:t>
        </w:r>
      </w:hyperlink>
      <w:r>
        <w:t xml:space="preserve"> Банка России N 630-П и настоящим Положением.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 xml:space="preserve">В заявлении, оформляемом работником банка или организацией в соответствии с </w:t>
      </w:r>
      <w:hyperlink r:id="rId79" w:history="1">
        <w:r>
          <w:rPr>
            <w:color w:val="0000FF"/>
          </w:rPr>
          <w:t>Указанием</w:t>
        </w:r>
      </w:hyperlink>
      <w:r>
        <w:t xml:space="preserve"> Банка России N 5071-У или </w:t>
      </w:r>
      <w:hyperlink r:id="rId80" w:history="1">
        <w:r>
          <w:rPr>
            <w:color w:val="0000FF"/>
          </w:rPr>
          <w:t>Положением</w:t>
        </w:r>
      </w:hyperlink>
      <w:r>
        <w:t xml:space="preserve"> Банка России N 630-П для сдачи в банк выявленных организацией сомнительных денежных знаков, на оборотной стороне указываются: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номер банковского счета, предназначенного для выдачи и внесения наличных денег, на который в случае подтверждения платежеспособности направляемых на экспертизу сомнительных денежных знаков следует зачислить их сумму;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коды бюджетной классификации Российской Федерации (коды операций) (за исключением операций, которые в соответствии с законодательством Российской Федерации не подлежат учету по кодам бюджетной классификации Российской Федерации);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информация в целях соблюдения порядка исполнения бюджета по расходам;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информация в целях соблюдения порядка казначейского обслуживания.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Копия заявления направляется банком в территориальный орган Федерального казначейства не позднее рабочего дня, следующего за днем зачисления суммы сомнительных денежных знаков, признанных по результатам экспертизы платежеспособными, на банковский счет, предназначенный для выдачи и внесения наличных денег.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В случае выявления в банке при приеме наличных денег от представителя организации сомнительных денежных знаков работник банка или представитель организации оформляет в двух экземплярах заявление в произвольной форме, в котором указывает:</w:t>
      </w:r>
    </w:p>
    <w:p w:rsidR="00355562" w:rsidRDefault="00355562">
      <w:pPr>
        <w:pStyle w:val="ConsPlusNormal"/>
        <w:spacing w:before="220"/>
        <w:ind w:firstLine="540"/>
        <w:jc w:val="both"/>
      </w:pPr>
      <w:bookmarkStart w:id="1" w:name="P167"/>
      <w:bookmarkEnd w:id="1"/>
      <w:r>
        <w:lastRenderedPageBreak/>
        <w:t>сумму сомнительных денежных знаков;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номер банковского счета, предназначенного для выдачи и внесения наличных денег, на который в случае подтверждения платежеспособности направляемых на экспертизу сомнительных денежных знаков следует зачислить их сумму;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лицевой счет организации;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коды бюджетной классификации Российской Федерации (коды операций) (за исключением операций, которые в соответствии с законодательством Российской Федерации не подлежат учету по кодам бюджетной классификации Российской Федерации);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информацию в целях соблюдения порядка исполнения бюджета по расходам;</w:t>
      </w:r>
    </w:p>
    <w:p w:rsidR="00355562" w:rsidRDefault="00355562">
      <w:pPr>
        <w:pStyle w:val="ConsPlusNormal"/>
        <w:spacing w:before="220"/>
        <w:ind w:firstLine="540"/>
        <w:jc w:val="both"/>
      </w:pPr>
      <w:bookmarkStart w:id="2" w:name="P172"/>
      <w:bookmarkEnd w:id="2"/>
      <w:r>
        <w:t>информацию в целях соблюдения порядка казначейского обслуживания.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 xml:space="preserve">По своему усмотрению представитель организации указывает в заявлении дополнительные реквизиты, помимо предусмотренных </w:t>
      </w:r>
      <w:hyperlink w:anchor="P167" w:history="1">
        <w:r>
          <w:rPr>
            <w:color w:val="0000FF"/>
          </w:rPr>
          <w:t>абзацами девятым</w:t>
        </w:r>
      </w:hyperlink>
      <w:r>
        <w:t xml:space="preserve"> - </w:t>
      </w:r>
      <w:hyperlink w:anchor="P172" w:history="1">
        <w:r>
          <w:rPr>
            <w:color w:val="0000FF"/>
          </w:rPr>
          <w:t>четырнадцатым</w:t>
        </w:r>
      </w:hyperlink>
      <w:r>
        <w:t xml:space="preserve"> настоящего пункта.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>Заявление подписывается представителем организации с указанием наименования его должности, фамилии и инициалов. Один экземпляр заявления остается в банке, второй направляется банком в территориальный орган Федерального казначейства не позднее рабочего дня, следующего за днем зачисления суммы сомнительных денежных знаков, признанных по результатам экспертизы платежеспособными, на банковский счет, предназначенный для выдачи и внесения наличных денег.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 xml:space="preserve">В случае выявления сомнительных денежных знаков в кредитной организации (филиале) при пересчете наличных денег из сумки, поступившей от организации, копия ведомости к сумке </w:t>
      </w:r>
      <w:hyperlink r:id="rId81" w:history="1">
        <w:r>
          <w:rPr>
            <w:color w:val="0000FF"/>
          </w:rPr>
          <w:t>0402300</w:t>
        </w:r>
      </w:hyperlink>
      <w:r>
        <w:t xml:space="preserve"> направляется кредитной организацией (филиалом) в территориальный орган Федерального казначейства не позднее рабочего дня, следующего за днем зачисления суммы сомнительных денежных знаков, признанных по результатам экспертизы платежеспособными, на банковский счет, предназначенный для выдачи и внесения наличных денег.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 xml:space="preserve">2.8. Сдача наличных денег организацией для зачисления сумм денежных средств на банковские счета, предназначенные для выдачи и внесения наличных денег, через устройства, функционирующие в автоматическом режиме и предназначенные для приема наличных денег от организаций (далее - автоматические приемные устройства), осуществляется в порядке, установленном </w:t>
      </w:r>
      <w:hyperlink r:id="rId82" w:history="1">
        <w:r>
          <w:rPr>
            <w:color w:val="0000FF"/>
          </w:rPr>
          <w:t>Положением</w:t>
        </w:r>
      </w:hyperlink>
      <w:r>
        <w:t xml:space="preserve"> Банка России N 630-П.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 xml:space="preserve">В случае внесения наличных денег организациями с применением автоматических приемных устройств распечатка автоматического приемного устройства, подтверждающая проведение операции по сдаче наличных денег для зачисления суммы денежных средств на банковский счет, помимо реквизитов, предусмотренных </w:t>
      </w:r>
      <w:hyperlink r:id="rId83" w:history="1">
        <w:r>
          <w:rPr>
            <w:color w:val="0000FF"/>
          </w:rPr>
          <w:t>Положением</w:t>
        </w:r>
      </w:hyperlink>
      <w:r>
        <w:t xml:space="preserve"> Банка России N 630-П, может содержать дополнительную информацию, необходимую территориальному органу Федерального казначейства, предусмотренную в соответствующем договоре с кредитной организацией.</w:t>
      </w:r>
    </w:p>
    <w:p w:rsidR="00355562" w:rsidRDefault="00355562">
      <w:pPr>
        <w:pStyle w:val="ConsPlusNormal"/>
        <w:spacing w:before="220"/>
        <w:ind w:firstLine="540"/>
        <w:jc w:val="both"/>
      </w:pPr>
      <w:r>
        <w:t xml:space="preserve">2.9. Выдача наличной иностранной валюты организациям, прием наличной иностранной валюты от организаций производятся в соответствии с требованиями, установленными </w:t>
      </w:r>
      <w:hyperlink r:id="rId84" w:history="1">
        <w:r>
          <w:rPr>
            <w:color w:val="0000FF"/>
          </w:rPr>
          <w:t>Указанием</w:t>
        </w:r>
      </w:hyperlink>
      <w:r>
        <w:t xml:space="preserve"> Банка России от 30 января 2020 года N 5396-У "О порядке ведения кассовых операций с наличной иностранной валютой в уполномоченных банках на территории Российской Федерации", зарегистрированным Министерством юстиции Российской Федерации 23 апреля 2020 года N 58200, и настоящим Положением, в пределах имеющегося остатка денежных средств на банковском счете территориального органа Федерального казначейства, предназначенном для выдачи и внесения наличных денег, на начало операционного дня или, при возможности, на момент выдачи в соответствии с графиком кассового обслуживания организаций.</w:t>
      </w:r>
    </w:p>
    <w:p w:rsidR="00355562" w:rsidRDefault="00355562">
      <w:pPr>
        <w:pStyle w:val="ConsPlusNormal"/>
        <w:jc w:val="both"/>
      </w:pPr>
    </w:p>
    <w:p w:rsidR="00355562" w:rsidRDefault="00355562">
      <w:pPr>
        <w:pStyle w:val="ConsPlusTitle"/>
        <w:ind w:firstLine="540"/>
        <w:jc w:val="both"/>
        <w:outlineLvl w:val="0"/>
      </w:pPr>
      <w:r>
        <w:lastRenderedPageBreak/>
        <w:t>Глава 3. Заключительные положения</w:t>
      </w:r>
    </w:p>
    <w:p w:rsidR="00355562" w:rsidRDefault="00355562">
      <w:pPr>
        <w:pStyle w:val="ConsPlusNormal"/>
        <w:jc w:val="both"/>
      </w:pPr>
    </w:p>
    <w:p w:rsidR="00355562" w:rsidRDefault="00355562">
      <w:pPr>
        <w:pStyle w:val="ConsPlusNormal"/>
        <w:ind w:firstLine="540"/>
        <w:jc w:val="both"/>
      </w:pPr>
      <w:r>
        <w:t>3.1. Настоящее Положение подлежит официальному опубликованию и вступает в силу с 1 января 2021 года.</w:t>
      </w:r>
    </w:p>
    <w:p w:rsidR="00355562" w:rsidRDefault="00355562">
      <w:pPr>
        <w:pStyle w:val="ConsPlusNormal"/>
        <w:jc w:val="both"/>
      </w:pPr>
    </w:p>
    <w:p w:rsidR="00355562" w:rsidRDefault="00355562">
      <w:pPr>
        <w:pStyle w:val="ConsPlusNormal"/>
        <w:jc w:val="right"/>
      </w:pPr>
      <w:r>
        <w:t>Председатель Центрального банка</w:t>
      </w:r>
    </w:p>
    <w:p w:rsidR="00355562" w:rsidRDefault="00355562">
      <w:pPr>
        <w:pStyle w:val="ConsPlusNormal"/>
        <w:jc w:val="right"/>
      </w:pPr>
      <w:r>
        <w:t>Российской Федерации</w:t>
      </w:r>
    </w:p>
    <w:p w:rsidR="00355562" w:rsidRDefault="00355562">
      <w:pPr>
        <w:pStyle w:val="ConsPlusNormal"/>
        <w:jc w:val="right"/>
      </w:pPr>
      <w:r>
        <w:t>Э.С.НАБИУЛЛИНА</w:t>
      </w:r>
    </w:p>
    <w:p w:rsidR="00355562" w:rsidRDefault="00355562">
      <w:pPr>
        <w:pStyle w:val="ConsPlusNormal"/>
        <w:jc w:val="both"/>
      </w:pPr>
    </w:p>
    <w:p w:rsidR="00355562" w:rsidRDefault="00355562">
      <w:pPr>
        <w:pStyle w:val="ConsPlusNormal"/>
        <w:jc w:val="right"/>
      </w:pPr>
      <w:r>
        <w:t>Согласовано</w:t>
      </w:r>
    </w:p>
    <w:p w:rsidR="00355562" w:rsidRDefault="00355562">
      <w:pPr>
        <w:pStyle w:val="ConsPlusNormal"/>
        <w:jc w:val="right"/>
      </w:pPr>
      <w:r>
        <w:t>Руководитель Федерального казначейства</w:t>
      </w:r>
    </w:p>
    <w:p w:rsidR="00355562" w:rsidRDefault="00355562">
      <w:pPr>
        <w:pStyle w:val="ConsPlusNormal"/>
        <w:jc w:val="right"/>
      </w:pPr>
      <w:r>
        <w:t>Р.Е.АРТЮХИН</w:t>
      </w:r>
    </w:p>
    <w:p w:rsidR="00355562" w:rsidRDefault="00355562">
      <w:pPr>
        <w:pStyle w:val="ConsPlusNormal"/>
        <w:jc w:val="both"/>
      </w:pPr>
    </w:p>
    <w:p w:rsidR="00355562" w:rsidRDefault="00355562">
      <w:pPr>
        <w:pStyle w:val="ConsPlusNormal"/>
        <w:jc w:val="both"/>
      </w:pPr>
    </w:p>
    <w:p w:rsidR="00355562" w:rsidRDefault="0035556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63377" w:rsidRDefault="00663377"/>
    <w:sectPr w:rsidR="00663377" w:rsidSect="001155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562"/>
    <w:rsid w:val="00355562"/>
    <w:rsid w:val="004B4A52"/>
    <w:rsid w:val="00663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89A561-23DB-4C0E-A9DA-D3E6BB3ED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555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5556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555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5556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C4173FFD8264F26B169D3CF97611A6134AF9130C90D081CECB251A60CBDD164794CE95FA6CD72471A04EAC16FC7F9C65DC901444031BFDB0X5c0F" TargetMode="External"/><Relationship Id="rId18" Type="http://schemas.openxmlformats.org/officeDocument/2006/relationships/hyperlink" Target="consultantplus://offline/ref=C4173FFD8264F26B169D3CF97611A6134AF9130C90D081CECB251A60CBDD164786CECDF66CDE3975A45BFA47BAX2cBF" TargetMode="External"/><Relationship Id="rId26" Type="http://schemas.openxmlformats.org/officeDocument/2006/relationships/hyperlink" Target="consultantplus://offline/ref=C4173FFD8264F26B169D3CF97611A6134AFD130B91DA81CECB251A60CBDD164794CE95FA6CD02474A44EAC16FC7F9C65DC901444031BFDB0X5c0F" TargetMode="External"/><Relationship Id="rId39" Type="http://schemas.openxmlformats.org/officeDocument/2006/relationships/hyperlink" Target="consultantplus://offline/ref=C4173FFD8264F26B169D3CF97611A6134AFE110F99D781CECB251A60CBDD164794CE95FA6CD72776A24EAC16FC7F9C65DC901444031BFDB0X5c0F" TargetMode="External"/><Relationship Id="rId21" Type="http://schemas.openxmlformats.org/officeDocument/2006/relationships/hyperlink" Target="consultantplus://offline/ref=C4173FFD8264F26B169D3CF97611A6134AF01E059CD281CECB251A60CBDD164794CE95FD6DD1237EF714BC12B52A987BD5890A411D1BXFcCF" TargetMode="External"/><Relationship Id="rId34" Type="http://schemas.openxmlformats.org/officeDocument/2006/relationships/hyperlink" Target="consultantplus://offline/ref=C4173FFD8264F26B169D3CF97611A6134AFE110F99D781CECB251A60CBDD164794CE95FA6CD72075A64EAC16FC7F9C65DC901444031BFDB0X5c0F" TargetMode="External"/><Relationship Id="rId42" Type="http://schemas.openxmlformats.org/officeDocument/2006/relationships/hyperlink" Target="consultantplus://offline/ref=C4173FFD8264F26B169D3CF97611A6134AFE110F99D781CECB251A60CBDD164794CE95FA6CD72476A44EAC16FC7F9C65DC901444031BFDB0X5c0F" TargetMode="External"/><Relationship Id="rId47" Type="http://schemas.openxmlformats.org/officeDocument/2006/relationships/hyperlink" Target="consultantplus://offline/ref=C4173FFD8264F26B169D3CF97611A6134AFE110F99D781CECB251A60CBDD164794CE95FA6CD72671A14EAC16FC7F9C65DC901444031BFDB0X5c0F" TargetMode="External"/><Relationship Id="rId50" Type="http://schemas.openxmlformats.org/officeDocument/2006/relationships/hyperlink" Target="consultantplus://offline/ref=C4173FFD8264F26B169D3CF97611A6134AFE110F99D781CECB251A60CBDD164794CE95FA6CD72175A14EAC16FC7F9C65DC901444031BFDB0X5c0F" TargetMode="External"/><Relationship Id="rId55" Type="http://schemas.openxmlformats.org/officeDocument/2006/relationships/hyperlink" Target="consultantplus://offline/ref=C4173FFD8264F26B169D3CF97611A61348FC1F0599D281CECB251A60CBDD164786CECDF66CDE3975A45BFA47BAX2cBF" TargetMode="External"/><Relationship Id="rId63" Type="http://schemas.openxmlformats.org/officeDocument/2006/relationships/hyperlink" Target="consultantplus://offline/ref=C4173FFD8264F26B169D3CF97611A6134AFE110F99D781CECB251A60CBDD164794CE95FA6CD72672AB4EAC16FC7F9C65DC901444031BFDB0X5c0F" TargetMode="External"/><Relationship Id="rId68" Type="http://schemas.openxmlformats.org/officeDocument/2006/relationships/hyperlink" Target="consultantplus://offline/ref=C4173FFD8264F26B169D3CF97611A6134AFE110F99D781CECB251A60CBDD164794CE95FA6CD72776A24EAC16FC7F9C65DC901444031BFDB0X5c0F" TargetMode="External"/><Relationship Id="rId76" Type="http://schemas.openxmlformats.org/officeDocument/2006/relationships/hyperlink" Target="consultantplus://offline/ref=C4173FFD8264F26B169D3CF97611A6134AFE110F99D781CECB251A60CBDD164794CE95FA6CD72776A24EAC16FC7F9C65DC901444031BFDB0X5c0F" TargetMode="External"/><Relationship Id="rId84" Type="http://schemas.openxmlformats.org/officeDocument/2006/relationships/hyperlink" Target="consultantplus://offline/ref=C4173FFD8264F26B169D3CF97611A6134AFD140C9CD381CECB251A60CBDD164786CECDF66CDE3975A45BFA47BAX2cBF" TargetMode="External"/><Relationship Id="rId7" Type="http://schemas.openxmlformats.org/officeDocument/2006/relationships/hyperlink" Target="consultantplus://offline/ref=C4173FFD8264F26B169D3CF97611A6134AFF11049CD381CECB251A60CBDD164794CE95FA6CD72777A64EAC16FC7F9C65DC901444031BFDB0X5c0F" TargetMode="External"/><Relationship Id="rId71" Type="http://schemas.openxmlformats.org/officeDocument/2006/relationships/hyperlink" Target="consultantplus://offline/ref=C4173FFD8264F26B169D3CF97611A6134AFE110F99D781CECB251A60CBDD164794CE95FA6CD72476A44EAC16FC7F9C65DC901444031BFDB0X5c0F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C4173FFD8264F26B169D3CF97611A6134AF9130C90D081CECB251A60CBDD164794CE95FA6CD72471A04EAC16FC7F9C65DC901444031BFDB0X5c0F" TargetMode="External"/><Relationship Id="rId29" Type="http://schemas.openxmlformats.org/officeDocument/2006/relationships/hyperlink" Target="consultantplus://offline/ref=C4173FFD8264F26B169D3CF97611A6134AFD130B91DA81CECB251A60CBDD164794CE95FA6CD0257DA44EAC16FC7F9C65DC901444031BFDB0X5c0F" TargetMode="External"/><Relationship Id="rId11" Type="http://schemas.openxmlformats.org/officeDocument/2006/relationships/hyperlink" Target="consultantplus://offline/ref=C4173FFD8264F26B169D3CF97611A6134AF0120C9CD181CECB251A60CBDD164794CE95FA6CD72775A54EAC16FC7F9C65DC901444031BFDB0X5c0F" TargetMode="External"/><Relationship Id="rId24" Type="http://schemas.openxmlformats.org/officeDocument/2006/relationships/hyperlink" Target="consultantplus://offline/ref=C4173FFD8264F26B169D3CF97611A6134AFD130F91DA81CECB251A60CBDD164786CECDF66CDE3975A45BFA47BAX2cBF" TargetMode="External"/><Relationship Id="rId32" Type="http://schemas.openxmlformats.org/officeDocument/2006/relationships/hyperlink" Target="consultantplus://offline/ref=C4173FFD8264F26B169D3CF97611A6134AFD130F91DA81CECB251A60CBDD164794CE95FA6CD7277DA54EAC16FC7F9C65DC901444031BFDB0X5c0F" TargetMode="External"/><Relationship Id="rId37" Type="http://schemas.openxmlformats.org/officeDocument/2006/relationships/hyperlink" Target="consultantplus://offline/ref=C4173FFD8264F26B169D3CF97611A6134AFD130F91DA81CECB251A60CBDD164786CECDF66CDE3975A45BFA47BAX2cBF" TargetMode="External"/><Relationship Id="rId40" Type="http://schemas.openxmlformats.org/officeDocument/2006/relationships/hyperlink" Target="consultantplus://offline/ref=C4173FFD8264F26B169D3CF97611A6134AFD160A91D581CECB251A60CBDD164786CECDF66CDE3975A45BFA47BAX2cBF" TargetMode="External"/><Relationship Id="rId45" Type="http://schemas.openxmlformats.org/officeDocument/2006/relationships/hyperlink" Target="consultantplus://offline/ref=C4173FFD8264F26B169D3CF97611A6134AFE110F99D781CECB251A60CBDD164794CE95FA6CD7227CA54EAC16FC7F9C65DC901444031BFDB0X5c0F" TargetMode="External"/><Relationship Id="rId53" Type="http://schemas.openxmlformats.org/officeDocument/2006/relationships/hyperlink" Target="consultantplus://offline/ref=C4173FFD8264F26B169D3CF97611A6134AFE110F99D781CECB251A60CBDD164794CE95FA6CD72575A64EAC16FC7F9C65DC901444031BFDB0X5c0F" TargetMode="External"/><Relationship Id="rId58" Type="http://schemas.openxmlformats.org/officeDocument/2006/relationships/hyperlink" Target="consultantplus://offline/ref=C4173FFD8264F26B169D3CF97611A6134AFE110F99D781CECB251A60CBDD164794CE95FA6CD72672AB4EAC16FC7F9C65DC901444031BFDB0X5c0F" TargetMode="External"/><Relationship Id="rId66" Type="http://schemas.openxmlformats.org/officeDocument/2006/relationships/hyperlink" Target="consultantplus://offline/ref=C4173FFD8264F26B169D3CF97611A6134AFE110F99D781CECB251A60CBDD164794CE95FA6CD72776A24EAC16FC7F9C65DC901444031BFDB0X5c0F" TargetMode="External"/><Relationship Id="rId74" Type="http://schemas.openxmlformats.org/officeDocument/2006/relationships/hyperlink" Target="consultantplus://offline/ref=C4173FFD8264F26B169D3CF97611A6134AFD160A91D581CECB251A60CBDD164794CE95FA6CD7277DA14EAC16FC7F9C65DC901444031BFDB0X5c0F" TargetMode="External"/><Relationship Id="rId79" Type="http://schemas.openxmlformats.org/officeDocument/2006/relationships/hyperlink" Target="consultantplus://offline/ref=C4173FFD8264F26B169D3CF97611A6134AFD160A91D581CECB251A60CBDD164794CE95FA6CD72776A04EAC16FC7F9C65DC901444031BFDB0X5c0F" TargetMode="External"/><Relationship Id="rId5" Type="http://schemas.openxmlformats.org/officeDocument/2006/relationships/hyperlink" Target="consultantplus://offline/ref=C4173FFD8264F26B169D3CF97611A6134AF01E059CD281CECB251A60CBDD164794CE95F865DE277EF714BC12B52A987BD5890A411D1BXFcCF" TargetMode="External"/><Relationship Id="rId61" Type="http://schemas.openxmlformats.org/officeDocument/2006/relationships/hyperlink" Target="consultantplus://offline/ref=C4173FFD8264F26B169D3CF97611A6134AFE110F99D781CECB251A60CBDD164794CE95FA6CD72177AA4EAC16FC7F9C65DC901444031BFDB0X5c0F" TargetMode="External"/><Relationship Id="rId82" Type="http://schemas.openxmlformats.org/officeDocument/2006/relationships/hyperlink" Target="consultantplus://offline/ref=C4173FFD8264F26B169D3CF97611A6134AFD130F91DA81CECB251A60CBDD164786CECDF66CDE3975A45BFA47BAX2cBF" TargetMode="External"/><Relationship Id="rId19" Type="http://schemas.openxmlformats.org/officeDocument/2006/relationships/hyperlink" Target="consultantplus://offline/ref=C4173FFD8264F26B169D3CF97611A6134AF01E059CD281CECB251A60CBDD164794CE95FD6DD1237EF714BC12B52A987BD5890A411D1BXFcCF" TargetMode="External"/><Relationship Id="rId4" Type="http://schemas.openxmlformats.org/officeDocument/2006/relationships/hyperlink" Target="consultantplus://offline/ref=C4173FFD8264F26B169D3CF97611A6134AF01E059CD281CECB251A60CBDD164794CE95FE65D3227EF714BC12B52A987BD5890A411D1BXFcCF" TargetMode="External"/><Relationship Id="rId9" Type="http://schemas.openxmlformats.org/officeDocument/2006/relationships/hyperlink" Target="consultantplus://offline/ref=C4173FFD8264F26B169D3CF97611A6134AF01E059CD281CECB251A60CBDD164794CE95F968D52F7EF714BC12B52A987BD5890A411D1BXFcCF" TargetMode="External"/><Relationship Id="rId14" Type="http://schemas.openxmlformats.org/officeDocument/2006/relationships/hyperlink" Target="consultantplus://offline/ref=C4173FFD8264F26B169D3CF97611A6134AF9130C90D081CECB251A60CBDD164794CE95FA6CD72471A04EAC16FC7F9C65DC901444031BFDB0X5c0F" TargetMode="External"/><Relationship Id="rId22" Type="http://schemas.openxmlformats.org/officeDocument/2006/relationships/hyperlink" Target="consultantplus://offline/ref=C4173FFD8264F26B169D3CF97611A6134AF9170D9FD481CECB251A60CBDD164786CECDF66CDE3975A45BFA47BAX2cBF" TargetMode="External"/><Relationship Id="rId27" Type="http://schemas.openxmlformats.org/officeDocument/2006/relationships/hyperlink" Target="consultantplus://offline/ref=C4173FFD8264F26B169D3CF97611A6134AFD160A91D581CECB251A60CBDD164794CE95FA6CD7277DA14EAC16FC7F9C65DC901444031BFDB0X5c0F" TargetMode="External"/><Relationship Id="rId30" Type="http://schemas.openxmlformats.org/officeDocument/2006/relationships/hyperlink" Target="consultantplus://offline/ref=C4173FFD8264F26B169D3CF97611A6134AFD130B91DA81CECB251A60CBDD164794CE95FA6CD02474A64EAC16FC7F9C65DC901444031BFDB0X5c0F" TargetMode="External"/><Relationship Id="rId35" Type="http://schemas.openxmlformats.org/officeDocument/2006/relationships/hyperlink" Target="consultantplus://offline/ref=C4173FFD8264F26B169D3CF97611A6134AFE110F99D781CECB251A60CBDD164794CE95FA6CD72776A24EAC16FC7F9C65DC901444031BFDB0X5c0F" TargetMode="External"/><Relationship Id="rId43" Type="http://schemas.openxmlformats.org/officeDocument/2006/relationships/hyperlink" Target="consultantplus://offline/ref=C4173FFD8264F26B169D3CF97611A6134AFE110F99D781CECB251A60CBDD164786CECDF66CDE3975A45BFA47BAX2cBF" TargetMode="External"/><Relationship Id="rId48" Type="http://schemas.openxmlformats.org/officeDocument/2006/relationships/hyperlink" Target="consultantplus://offline/ref=C4173FFD8264F26B169D3CF97611A6134AFE110F99D781CECB251A60CBDD164794CE95FA6CD7227CAA4EAC16FC7F9C65DC901444031BFDB0X5c0F" TargetMode="External"/><Relationship Id="rId56" Type="http://schemas.openxmlformats.org/officeDocument/2006/relationships/hyperlink" Target="consultantplus://offline/ref=C4173FFD8264F26B169D3CF97611A6134AFE110F99D781CECB251A60CBDD164794CE95FA6CD7267CA34EAC16FC7F9C65DC901444031BFDB0X5c0F" TargetMode="External"/><Relationship Id="rId64" Type="http://schemas.openxmlformats.org/officeDocument/2006/relationships/hyperlink" Target="consultantplus://offline/ref=C4173FFD8264F26B169D3CF97611A6134AFE110F99D781CECB251A60CBDD164794CE95FA6CD72672AB4EAC16FC7F9C65DC901444031BFDB0X5c0F" TargetMode="External"/><Relationship Id="rId69" Type="http://schemas.openxmlformats.org/officeDocument/2006/relationships/hyperlink" Target="consultantplus://offline/ref=C4173FFD8264F26B169D3CF97611A6134AFE110F99D781CECB251A60CBDD164794CE95FA6CD72776A24EAC16FC7F9C65DC901444031BFDB0X5c0F" TargetMode="External"/><Relationship Id="rId77" Type="http://schemas.openxmlformats.org/officeDocument/2006/relationships/hyperlink" Target="consultantplus://offline/ref=C4173FFD8264F26B169D3CF97611A6134AFD160A91D581CECB251A60CBDD164786CECDF66CDE3975A45BFA47BAX2cBF" TargetMode="External"/><Relationship Id="rId8" Type="http://schemas.openxmlformats.org/officeDocument/2006/relationships/hyperlink" Target="consultantplus://offline/ref=C4173FFD8264F26B169D3CF97611A6134AF9130C90D081CECB251A60CBDD164794CE95FA6CD72471A04EAC16FC7F9C65DC901444031BFDB0X5c0F" TargetMode="External"/><Relationship Id="rId51" Type="http://schemas.openxmlformats.org/officeDocument/2006/relationships/hyperlink" Target="consultantplus://offline/ref=C4173FFD8264F26B169D3CF97611A6134AFE110F99D781CECB251A60CBDD164794CE95FA6CD72671AB4EAC16FC7F9C65DC901444031BFDB0X5c0F" TargetMode="External"/><Relationship Id="rId72" Type="http://schemas.openxmlformats.org/officeDocument/2006/relationships/hyperlink" Target="consultantplus://offline/ref=C4173FFD8264F26B169D3CF97611A6134AFE110F99D781CECB251A60CBDD164794CE95FA6CD72476A44EAC16FC7F9C65DC901444031BFDB0X5c0F" TargetMode="External"/><Relationship Id="rId80" Type="http://schemas.openxmlformats.org/officeDocument/2006/relationships/hyperlink" Target="consultantplus://offline/ref=C4173FFD8264F26B169D3CF97611A6134AFD130F91DA81CECB251A60CBDD164794CE95FA6CD7247CAA4EAC16FC7F9C65DC901444031BFDB0X5c0F" TargetMode="External"/><Relationship Id="rId85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C4173FFD8264F26B169D3CF97611A6134AFF110B9FD181CECB251A60CBDD164794CE95FA6CD72374A74EAC16FC7F9C65DC901444031BFDB0X5c0F" TargetMode="External"/><Relationship Id="rId17" Type="http://schemas.openxmlformats.org/officeDocument/2006/relationships/hyperlink" Target="consultantplus://offline/ref=C4173FFD8264F26B169D3CF97611A6134AFF15089ED481CECB251A60CBDD164786CECDF66CDE3975A45BFA47BAX2cBF" TargetMode="External"/><Relationship Id="rId25" Type="http://schemas.openxmlformats.org/officeDocument/2006/relationships/hyperlink" Target="consultantplus://offline/ref=C4173FFD8264F26B169D3CF97611A6134AFD160A91D581CECB251A60CBDD164794CE95FA6CD72771AB4EAC16FC7F9C65DC901444031BFDB0X5c0F" TargetMode="External"/><Relationship Id="rId33" Type="http://schemas.openxmlformats.org/officeDocument/2006/relationships/hyperlink" Target="consultantplus://offline/ref=C4173FFD8264F26B169D3CF97611A6134AFD160A91D581CECB251A60CBDD164794CE95FA6CD7277DA14EAC16FC7F9C65DC901444031BFDB0X5c0F" TargetMode="External"/><Relationship Id="rId38" Type="http://schemas.openxmlformats.org/officeDocument/2006/relationships/hyperlink" Target="consultantplus://offline/ref=C4173FFD8264F26B169D3CF97611A6134AFD160A91D581CECB251A60CBDD164794CE95FA6CD7277DA14EAC16FC7F9C65DC901444031BFDB0X5c0F" TargetMode="External"/><Relationship Id="rId46" Type="http://schemas.openxmlformats.org/officeDocument/2006/relationships/hyperlink" Target="consultantplus://offline/ref=C4173FFD8264F26B169D3CF97611A6134AFE110F99D781CECB251A60CBDD164794CE95FA6CD7227CA54EAC16FC7F9C65DC901444031BFDB0X5c0F" TargetMode="External"/><Relationship Id="rId59" Type="http://schemas.openxmlformats.org/officeDocument/2006/relationships/hyperlink" Target="consultantplus://offline/ref=C4173FFD8264F26B169D3CF97611A6134AFE110F99D781CECB251A60CBDD164794CE95FA6CD72672AB4EAC16FC7F9C65DC901444031BFDB0X5c0F" TargetMode="External"/><Relationship Id="rId67" Type="http://schemas.openxmlformats.org/officeDocument/2006/relationships/hyperlink" Target="consultantplus://offline/ref=C4173FFD8264F26B169D3CF97611A6134AFE110F99D781CECB251A60CBDD164794CE95FA6CD72776A24EAC16FC7F9C65DC901444031BFDB0X5c0F" TargetMode="External"/><Relationship Id="rId20" Type="http://schemas.openxmlformats.org/officeDocument/2006/relationships/hyperlink" Target="consultantplus://offline/ref=C4173FFD8264F26B169D3CF97611A6134AF9130C90D081CECB251A60CBDD164794CE95FA6CD72471A04EAC16FC7F9C65DC901444031BFDB0X5c0F" TargetMode="External"/><Relationship Id="rId41" Type="http://schemas.openxmlformats.org/officeDocument/2006/relationships/hyperlink" Target="consultantplus://offline/ref=C4173FFD8264F26B169D3CF97611A6134AFE110F99D781CECB251A60CBDD164794CE95FA6CD72776A24EAC16FC7F9C65DC901444031BFDB0X5c0F" TargetMode="External"/><Relationship Id="rId54" Type="http://schemas.openxmlformats.org/officeDocument/2006/relationships/hyperlink" Target="consultantplus://offline/ref=C4173FFD8264F26B169D3CF97611A6134AFE110F99D781CECB251A60CBDD164794CE95FA6CD7217CAB4EAC16FC7F9C65DC901444031BFDB0X5c0F" TargetMode="External"/><Relationship Id="rId62" Type="http://schemas.openxmlformats.org/officeDocument/2006/relationships/hyperlink" Target="consultantplus://offline/ref=C4173FFD8264F26B169D3CF97611A6134AFE110F99D781CECB251A60CBDD164794CE95FA6CD72177AA4EAC16FC7F9C65DC901444031BFDB0X5c0F" TargetMode="External"/><Relationship Id="rId70" Type="http://schemas.openxmlformats.org/officeDocument/2006/relationships/hyperlink" Target="consultantplus://offline/ref=C4173FFD8264F26B169D3CF97611A6134AFE110F99D781CECB251A60CBDD164794CE95FA6CD72776A24EAC16FC7F9C65DC901444031BFDB0X5c0F" TargetMode="External"/><Relationship Id="rId75" Type="http://schemas.openxmlformats.org/officeDocument/2006/relationships/hyperlink" Target="consultantplus://offline/ref=C4173FFD8264F26B169D3CF97611A6134AFE110F99D781CECB251A60CBDD164794CE95FA6CD72574A24EAC16FC7F9C65DC901444031BFDB0X5c0F" TargetMode="External"/><Relationship Id="rId83" Type="http://schemas.openxmlformats.org/officeDocument/2006/relationships/hyperlink" Target="consultantplus://offline/ref=C4173FFD8264F26B169D3CF97611A6134AFD130F91DA81CECB251A60CBDD164786CECDF66CDE3975A45BFA47BAX2cB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4173FFD8264F26B169D3CF97611A6134AF01E059CD281CECB251A60CBDD164794CE95FE65D0267EF714BC12B52A987BD5890A411D1BXFcCF" TargetMode="External"/><Relationship Id="rId15" Type="http://schemas.openxmlformats.org/officeDocument/2006/relationships/hyperlink" Target="consultantplus://offline/ref=C4173FFD8264F26B169D3CF97611A6134AF01E059CD281CECB251A60CBDD164794CE95FF69D32F7EF714BC12B52A987BD5890A411D1BXFcCF" TargetMode="External"/><Relationship Id="rId23" Type="http://schemas.openxmlformats.org/officeDocument/2006/relationships/hyperlink" Target="consultantplus://offline/ref=C4173FFD8264F26B169D3CF97611A6134AFD160A91D581CECB251A60CBDD164786CECDF66CDE3975A45BFA47BAX2cBF" TargetMode="External"/><Relationship Id="rId28" Type="http://schemas.openxmlformats.org/officeDocument/2006/relationships/hyperlink" Target="consultantplus://offline/ref=C4173FFD8264F26B169D3CF97611A6134AFF1F0B99D481CECB251A60CBDD164794CE95FA6CDF2673A04EAC16FC7F9C65DC901444031BFDB0X5c0F" TargetMode="External"/><Relationship Id="rId36" Type="http://schemas.openxmlformats.org/officeDocument/2006/relationships/hyperlink" Target="consultantplus://offline/ref=C4173FFD8264F26B169D3CF97611A6134AFE110F99D781CECB251A60CBDD164794CE95FA6CD72476A44EAC16FC7F9C65DC901444031BFDB0X5c0F" TargetMode="External"/><Relationship Id="rId49" Type="http://schemas.openxmlformats.org/officeDocument/2006/relationships/hyperlink" Target="consultantplus://offline/ref=C4173FFD8264F26B169D3CF97611A6134AFE110F99D781CECB251A60CBDD164794CE95FA6CD72671A64EAC16FC7F9C65DC901444031BFDB0X5c0F" TargetMode="External"/><Relationship Id="rId57" Type="http://schemas.openxmlformats.org/officeDocument/2006/relationships/hyperlink" Target="consultantplus://offline/ref=C4173FFD8264F26B169D3CF97611A6134AFE110F99D781CECB251A60CBDD164794CE95FA6CD72171A24EAC16FC7F9C65DC901444031BFDB0X5c0F" TargetMode="External"/><Relationship Id="rId10" Type="http://schemas.openxmlformats.org/officeDocument/2006/relationships/hyperlink" Target="consultantplus://offline/ref=C4173FFD8264F26B169D3CF97611A6134AF01E059CD281CECB251A60CBDD164794CE95F86AD2237EF714BC12B52A987BD5890A411D1BXFcCF" TargetMode="External"/><Relationship Id="rId31" Type="http://schemas.openxmlformats.org/officeDocument/2006/relationships/hyperlink" Target="consultantplus://offline/ref=C4173FFD8264F26B169D3CF97611A6134AFD130B91DA81CECB251A60CBDD164794CE95FA6CD02474A54EAC16FC7F9C65DC901444031BFDB0X5c0F" TargetMode="External"/><Relationship Id="rId44" Type="http://schemas.openxmlformats.org/officeDocument/2006/relationships/hyperlink" Target="consultantplus://offline/ref=C4173FFD8264F26B169D3CF97611A6134AFE110F99D781CECB251A60CBDD164794CE95FA6CD72676AA4EAC16FC7F9C65DC901444031BFDB0X5c0F" TargetMode="External"/><Relationship Id="rId52" Type="http://schemas.openxmlformats.org/officeDocument/2006/relationships/hyperlink" Target="consultantplus://offline/ref=C4173FFD8264F26B169D3CF97611A6134AFE110F99D781CECB251A60CBDD164794CE95FA6CD72175A64EAC16FC7F9C65DC901444031BFDB0X5c0F" TargetMode="External"/><Relationship Id="rId60" Type="http://schemas.openxmlformats.org/officeDocument/2006/relationships/hyperlink" Target="consultantplus://offline/ref=C4173FFD8264F26B169D3CF97611A6134AFE110F99D781CECB251A60CBDD164794CE95FA6CD72177AA4EAC16FC7F9C65DC901444031BFDB0X5c0F" TargetMode="External"/><Relationship Id="rId65" Type="http://schemas.openxmlformats.org/officeDocument/2006/relationships/hyperlink" Target="consultantplus://offline/ref=C4173FFD8264F26B169D3CF97611A6134AFE110F99D781CECB251A60CBDD164794CE95FA6CD7267CA34EAC16FC7F9C65DC901444031BFDB0X5c0F" TargetMode="External"/><Relationship Id="rId73" Type="http://schemas.openxmlformats.org/officeDocument/2006/relationships/hyperlink" Target="consultantplus://offline/ref=C4173FFD8264F26B169D3CF97611A6134AFD130F91DA81CECB251A60CBDD164794CE95FA6CD7277DA54EAC16FC7F9C65DC901444031BFDB0X5c0F" TargetMode="External"/><Relationship Id="rId78" Type="http://schemas.openxmlformats.org/officeDocument/2006/relationships/hyperlink" Target="consultantplus://offline/ref=C4173FFD8264F26B169D3CF97611A6134AFD130F91DA81CECB251A60CBDD164786CECDF66CDE3975A45BFA47BAX2cBF" TargetMode="External"/><Relationship Id="rId81" Type="http://schemas.openxmlformats.org/officeDocument/2006/relationships/hyperlink" Target="consultantplus://offline/ref=C4173FFD8264F26B169D3CF97611A6134AFE110F99D781CECB251A60CBDD164794CE95FA6CD72476A44EAC16FC7F9C65DC901444031BFDB0X5c0F" TargetMode="External"/><Relationship Id="rId8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8471</Words>
  <Characters>48291</Characters>
  <Application>Microsoft Office Word</Application>
  <DocSecurity>0</DocSecurity>
  <Lines>402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Волкова Наталья Юрьевна</dc:creator>
  <cp:keywords/>
  <dc:description/>
  <cp:lastModifiedBy>Волкова Наталья Юрьевна</cp:lastModifiedBy>
  <cp:revision>2</cp:revision>
  <dcterms:created xsi:type="dcterms:W3CDTF">2021-07-09T05:28:00Z</dcterms:created>
  <dcterms:modified xsi:type="dcterms:W3CDTF">2021-07-09T05:32:00Z</dcterms:modified>
</cp:coreProperties>
</file>